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4961" w14:textId="77777777" w:rsidR="0015738D" w:rsidRPr="00F657ED" w:rsidRDefault="0015738D" w:rsidP="0015738D">
      <w:pPr>
        <w:ind w:firstLine="720"/>
        <w:jc w:val="both"/>
        <w:rPr>
          <w:rFonts w:ascii="Arial" w:hAnsi="Arial" w:cs="Arial"/>
          <w:lang w:eastAsia="hr-HR"/>
        </w:rPr>
      </w:pPr>
      <w:r w:rsidRPr="00F657ED">
        <w:rPr>
          <w:rFonts w:ascii="Arial" w:hAnsi="Arial" w:cs="Arial"/>
          <w:lang w:eastAsia="hr-HR"/>
        </w:rPr>
        <w:t>Na temelju članka 19.a Zakona o porezu na dohodak (</w:t>
      </w:r>
      <w:r>
        <w:rPr>
          <w:rFonts w:ascii="Arial" w:hAnsi="Arial" w:cs="Arial"/>
          <w:lang w:eastAsia="hr-HR"/>
        </w:rPr>
        <w:t>„</w:t>
      </w:r>
      <w:r w:rsidRPr="00F657ED">
        <w:rPr>
          <w:rFonts w:ascii="Arial" w:hAnsi="Arial" w:cs="Arial"/>
          <w:lang w:eastAsia="hr-HR"/>
        </w:rPr>
        <w:t>Narodne novine</w:t>
      </w:r>
      <w:r>
        <w:rPr>
          <w:rFonts w:ascii="Arial" w:hAnsi="Arial" w:cs="Arial"/>
          <w:lang w:eastAsia="hr-HR"/>
        </w:rPr>
        <w:t>“</w:t>
      </w:r>
      <w:r w:rsidRPr="00F657ED">
        <w:rPr>
          <w:rFonts w:ascii="Arial" w:hAnsi="Arial" w:cs="Arial"/>
          <w:lang w:eastAsia="hr-HR"/>
        </w:rPr>
        <w:t xml:space="preserve"> broj 115/16, 106/18, 121/19, 32/20, 138/20, 151/22 i 114/23) i članka 34. Statuta Grada Otočca (</w:t>
      </w:r>
      <w:r>
        <w:rPr>
          <w:rFonts w:ascii="Arial" w:hAnsi="Arial" w:cs="Arial"/>
          <w:lang w:eastAsia="hr-HR"/>
        </w:rPr>
        <w:t>„</w:t>
      </w:r>
      <w:r w:rsidRPr="00F657ED">
        <w:rPr>
          <w:rFonts w:ascii="Arial" w:hAnsi="Arial" w:cs="Arial"/>
          <w:lang w:eastAsia="hr-HR"/>
        </w:rPr>
        <w:t>Službeni vjesnik Grad Otočca</w:t>
      </w:r>
      <w:r>
        <w:rPr>
          <w:rFonts w:ascii="Arial" w:hAnsi="Arial" w:cs="Arial"/>
          <w:lang w:eastAsia="hr-HR"/>
        </w:rPr>
        <w:t>“</w:t>
      </w:r>
      <w:r w:rsidRPr="00F657ED">
        <w:rPr>
          <w:rFonts w:ascii="Arial" w:hAnsi="Arial" w:cs="Arial"/>
          <w:lang w:eastAsia="hr-HR"/>
        </w:rPr>
        <w:t xml:space="preserve"> broj 9/21), Gradsko vijeće Grada Otočca na______ sjednici održanoj ___________ 2023. godine donijelo je</w:t>
      </w:r>
    </w:p>
    <w:p w14:paraId="5C77FEDB" w14:textId="77777777" w:rsidR="0015738D" w:rsidRPr="00F657ED" w:rsidRDefault="0015738D" w:rsidP="0015738D">
      <w:pPr>
        <w:shd w:val="clear" w:color="auto" w:fill="FFFFFF"/>
        <w:jc w:val="both"/>
        <w:rPr>
          <w:rFonts w:ascii="Arial" w:hAnsi="Arial" w:cs="Arial"/>
          <w:b/>
          <w:bCs/>
          <w:lang w:eastAsia="hr-HR"/>
        </w:rPr>
      </w:pPr>
    </w:p>
    <w:p w14:paraId="0278F1A0" w14:textId="77777777" w:rsidR="0015738D" w:rsidRPr="00F657ED" w:rsidRDefault="0015738D" w:rsidP="0015738D">
      <w:pPr>
        <w:shd w:val="clear" w:color="auto" w:fill="FFFFFF"/>
        <w:jc w:val="center"/>
        <w:rPr>
          <w:rFonts w:ascii="Arial" w:hAnsi="Arial" w:cs="Arial"/>
          <w:b/>
          <w:bCs/>
          <w:lang w:eastAsia="hr-HR"/>
        </w:rPr>
      </w:pPr>
    </w:p>
    <w:p w14:paraId="74DA4756" w14:textId="77777777" w:rsidR="0015738D" w:rsidRPr="00F657ED" w:rsidRDefault="0015738D" w:rsidP="0015738D">
      <w:pPr>
        <w:shd w:val="clear" w:color="auto" w:fill="FFFFFF"/>
        <w:jc w:val="center"/>
        <w:rPr>
          <w:rFonts w:ascii="Arial" w:hAnsi="Arial" w:cs="Arial"/>
          <w:b/>
          <w:bCs/>
          <w:lang w:eastAsia="hr-HR"/>
        </w:rPr>
      </w:pPr>
    </w:p>
    <w:p w14:paraId="74EFA1A2" w14:textId="77777777" w:rsidR="0015738D" w:rsidRPr="00F657ED" w:rsidRDefault="0015738D" w:rsidP="0015738D">
      <w:pPr>
        <w:shd w:val="clear" w:color="auto" w:fill="FFFFFF"/>
        <w:rPr>
          <w:rFonts w:ascii="Arial" w:hAnsi="Arial" w:cs="Arial"/>
          <w:b/>
          <w:bCs/>
          <w:lang w:eastAsia="hr-HR"/>
        </w:rPr>
      </w:pPr>
    </w:p>
    <w:p w14:paraId="2818AA48" w14:textId="77777777" w:rsidR="0015738D" w:rsidRPr="00F657ED" w:rsidRDefault="0015738D" w:rsidP="0015738D">
      <w:pPr>
        <w:shd w:val="clear" w:color="auto" w:fill="FFFFFF"/>
        <w:jc w:val="center"/>
        <w:rPr>
          <w:rFonts w:ascii="Arial" w:hAnsi="Arial" w:cs="Arial"/>
          <w:b/>
          <w:bCs/>
          <w:lang w:eastAsia="hr-HR"/>
        </w:rPr>
      </w:pPr>
    </w:p>
    <w:p w14:paraId="55494B52" w14:textId="77777777" w:rsidR="0015738D" w:rsidRPr="00F657ED" w:rsidRDefault="0015738D" w:rsidP="0015738D">
      <w:pPr>
        <w:shd w:val="clear" w:color="auto" w:fill="FFFFFF"/>
        <w:jc w:val="center"/>
        <w:rPr>
          <w:rFonts w:ascii="Arial" w:hAnsi="Arial" w:cs="Arial"/>
          <w:b/>
          <w:bCs/>
          <w:lang w:eastAsia="hr-HR"/>
        </w:rPr>
      </w:pPr>
      <w:bookmarkStart w:id="0" w:name="_Hlk150171416"/>
    </w:p>
    <w:p w14:paraId="77DB6758" w14:textId="77777777" w:rsidR="0015738D" w:rsidRPr="00F657ED" w:rsidRDefault="0015738D" w:rsidP="0015738D">
      <w:pPr>
        <w:shd w:val="clear" w:color="auto" w:fill="FFFFFF"/>
        <w:jc w:val="center"/>
        <w:rPr>
          <w:rFonts w:ascii="Arial" w:hAnsi="Arial" w:cs="Arial"/>
          <w:b/>
          <w:bCs/>
          <w:lang w:eastAsia="hr-HR"/>
        </w:rPr>
      </w:pPr>
      <w:r w:rsidRPr="00F657ED">
        <w:rPr>
          <w:rFonts w:ascii="Arial" w:hAnsi="Arial" w:cs="Arial"/>
          <w:b/>
          <w:bCs/>
          <w:lang w:eastAsia="hr-HR"/>
        </w:rPr>
        <w:t>O D L U K U</w:t>
      </w:r>
    </w:p>
    <w:p w14:paraId="3718A403" w14:textId="77777777" w:rsidR="0015738D" w:rsidRPr="00F657ED" w:rsidRDefault="0015738D" w:rsidP="0015738D">
      <w:pPr>
        <w:shd w:val="clear" w:color="auto" w:fill="FFFFFF"/>
        <w:jc w:val="center"/>
        <w:rPr>
          <w:rFonts w:ascii="Arial" w:hAnsi="Arial" w:cs="Arial"/>
          <w:b/>
          <w:bCs/>
          <w:lang w:eastAsia="hr-HR"/>
        </w:rPr>
      </w:pPr>
      <w:r w:rsidRPr="00F657ED">
        <w:rPr>
          <w:rFonts w:ascii="Arial" w:hAnsi="Arial" w:cs="Arial"/>
          <w:b/>
          <w:bCs/>
          <w:lang w:eastAsia="hr-HR"/>
        </w:rPr>
        <w:t xml:space="preserve">o visini poreznih stopa godišnjeg poreza na dohodak </w:t>
      </w:r>
    </w:p>
    <w:p w14:paraId="4758E978" w14:textId="77777777" w:rsidR="0015738D" w:rsidRPr="00F657ED" w:rsidRDefault="0015738D" w:rsidP="0015738D">
      <w:pPr>
        <w:shd w:val="clear" w:color="auto" w:fill="FFFFFF"/>
        <w:jc w:val="center"/>
        <w:rPr>
          <w:rFonts w:ascii="Arial" w:hAnsi="Arial" w:cs="Arial"/>
          <w:b/>
          <w:bCs/>
          <w:lang w:eastAsia="hr-HR"/>
        </w:rPr>
      </w:pPr>
      <w:r w:rsidRPr="00F657ED">
        <w:rPr>
          <w:rFonts w:ascii="Arial" w:hAnsi="Arial" w:cs="Arial"/>
          <w:b/>
          <w:bCs/>
          <w:lang w:eastAsia="hr-HR"/>
        </w:rPr>
        <w:t>na području Grada Otočca</w:t>
      </w:r>
    </w:p>
    <w:p w14:paraId="39018D64" w14:textId="77777777" w:rsidR="0015738D" w:rsidRPr="00F657ED" w:rsidRDefault="0015738D" w:rsidP="0015738D">
      <w:pPr>
        <w:rPr>
          <w:rFonts w:ascii="Arial" w:hAnsi="Arial" w:cs="Arial"/>
          <w:lang w:eastAsia="hr-HR"/>
        </w:rPr>
      </w:pPr>
    </w:p>
    <w:bookmarkEnd w:id="0"/>
    <w:p w14:paraId="0B9A0548" w14:textId="77777777" w:rsidR="0015738D" w:rsidRPr="00F657ED" w:rsidRDefault="0015738D" w:rsidP="0015738D">
      <w:pPr>
        <w:rPr>
          <w:rFonts w:ascii="Arial" w:hAnsi="Arial" w:cs="Arial"/>
          <w:lang w:eastAsia="hr-HR"/>
        </w:rPr>
      </w:pPr>
    </w:p>
    <w:p w14:paraId="2EC9475E" w14:textId="77777777" w:rsidR="0015738D" w:rsidRPr="00F657ED" w:rsidRDefault="0015738D" w:rsidP="0015738D">
      <w:pPr>
        <w:rPr>
          <w:rFonts w:ascii="Arial" w:hAnsi="Arial" w:cs="Arial"/>
          <w:lang w:eastAsia="hr-HR"/>
        </w:rPr>
      </w:pPr>
    </w:p>
    <w:p w14:paraId="7AC39B11" w14:textId="77777777" w:rsidR="0015738D" w:rsidRPr="00F657ED" w:rsidRDefault="0015738D" w:rsidP="0015738D">
      <w:pPr>
        <w:shd w:val="clear" w:color="auto" w:fill="FFFFFF"/>
        <w:jc w:val="center"/>
        <w:rPr>
          <w:rFonts w:ascii="Arial" w:hAnsi="Arial" w:cs="Arial"/>
          <w:b/>
          <w:bCs/>
          <w:bdr w:val="none" w:sz="0" w:space="0" w:color="auto" w:frame="1"/>
          <w:lang w:eastAsia="hr-HR"/>
        </w:rPr>
      </w:pPr>
      <w:r w:rsidRPr="00F657ED">
        <w:rPr>
          <w:rFonts w:ascii="Arial" w:hAnsi="Arial" w:cs="Arial"/>
          <w:b/>
          <w:bCs/>
          <w:bdr w:val="none" w:sz="0" w:space="0" w:color="auto" w:frame="1"/>
          <w:lang w:eastAsia="hr-HR"/>
        </w:rPr>
        <w:t>Članak 1.</w:t>
      </w:r>
    </w:p>
    <w:p w14:paraId="3D20C4AD" w14:textId="77777777" w:rsidR="0015738D" w:rsidRPr="00F657ED" w:rsidRDefault="0015738D" w:rsidP="0015738D">
      <w:pPr>
        <w:shd w:val="clear" w:color="auto" w:fill="FFFFFF"/>
        <w:jc w:val="center"/>
        <w:rPr>
          <w:rFonts w:ascii="Arial" w:hAnsi="Arial" w:cs="Arial"/>
          <w:lang w:eastAsia="hr-HR"/>
        </w:rPr>
      </w:pPr>
    </w:p>
    <w:p w14:paraId="2D25F119" w14:textId="77777777" w:rsidR="0015738D" w:rsidRPr="00F657ED" w:rsidRDefault="0015738D" w:rsidP="0015738D">
      <w:pPr>
        <w:ind w:firstLine="708"/>
        <w:jc w:val="both"/>
        <w:rPr>
          <w:rFonts w:ascii="Arial" w:hAnsi="Arial" w:cs="Arial"/>
          <w:shd w:val="clear" w:color="auto" w:fill="FFFFFF"/>
          <w:lang w:eastAsia="hr-HR"/>
        </w:rPr>
      </w:pPr>
      <w:r w:rsidRPr="00F657ED">
        <w:rPr>
          <w:rFonts w:ascii="Arial" w:hAnsi="Arial" w:cs="Arial"/>
          <w:shd w:val="clear" w:color="auto" w:fill="FFFFFF"/>
          <w:lang w:eastAsia="hr-HR"/>
        </w:rPr>
        <w:t>Ovom Odlukom utvrđuje se visina poreznih stopa godišnjeg poreza na dohodak za porezne obveznike na području Grada Otočca.</w:t>
      </w:r>
    </w:p>
    <w:p w14:paraId="239F142A" w14:textId="77777777" w:rsidR="0015738D" w:rsidRPr="00F657ED" w:rsidRDefault="0015738D" w:rsidP="0015738D">
      <w:pPr>
        <w:shd w:val="clear" w:color="auto" w:fill="FFFFFF"/>
        <w:jc w:val="center"/>
        <w:rPr>
          <w:rFonts w:ascii="Arial" w:hAnsi="Arial" w:cs="Arial"/>
          <w:b/>
          <w:bCs/>
          <w:bdr w:val="none" w:sz="0" w:space="0" w:color="auto" w:frame="1"/>
          <w:lang w:eastAsia="hr-HR"/>
        </w:rPr>
      </w:pPr>
    </w:p>
    <w:p w14:paraId="28D55F0F" w14:textId="77777777" w:rsidR="0015738D" w:rsidRPr="00F657ED" w:rsidRDefault="0015738D" w:rsidP="0015738D">
      <w:pPr>
        <w:shd w:val="clear" w:color="auto" w:fill="FFFFFF"/>
        <w:jc w:val="center"/>
        <w:rPr>
          <w:rFonts w:ascii="Arial" w:hAnsi="Arial" w:cs="Arial"/>
          <w:b/>
          <w:bCs/>
          <w:bdr w:val="none" w:sz="0" w:space="0" w:color="auto" w:frame="1"/>
          <w:lang w:eastAsia="hr-HR"/>
        </w:rPr>
      </w:pPr>
    </w:p>
    <w:p w14:paraId="1CAC8716" w14:textId="77777777" w:rsidR="0015738D" w:rsidRPr="00F657ED" w:rsidRDefault="0015738D" w:rsidP="0015738D">
      <w:pPr>
        <w:shd w:val="clear" w:color="auto" w:fill="FFFFFF"/>
        <w:jc w:val="center"/>
        <w:rPr>
          <w:rFonts w:ascii="Arial" w:hAnsi="Arial" w:cs="Arial"/>
          <w:b/>
          <w:bCs/>
          <w:bdr w:val="none" w:sz="0" w:space="0" w:color="auto" w:frame="1"/>
          <w:lang w:eastAsia="hr-HR"/>
        </w:rPr>
      </w:pPr>
      <w:r w:rsidRPr="00F657ED">
        <w:rPr>
          <w:rFonts w:ascii="Arial" w:hAnsi="Arial" w:cs="Arial"/>
          <w:b/>
          <w:bCs/>
          <w:bdr w:val="none" w:sz="0" w:space="0" w:color="auto" w:frame="1"/>
          <w:lang w:eastAsia="hr-HR"/>
        </w:rPr>
        <w:t>Članak 2.</w:t>
      </w:r>
    </w:p>
    <w:p w14:paraId="21C71928" w14:textId="77777777" w:rsidR="0015738D" w:rsidRPr="00F657ED" w:rsidRDefault="0015738D" w:rsidP="0015738D">
      <w:pPr>
        <w:shd w:val="clear" w:color="auto" w:fill="FFFFFF"/>
        <w:jc w:val="center"/>
        <w:rPr>
          <w:rFonts w:ascii="Arial" w:hAnsi="Arial" w:cs="Arial"/>
          <w:b/>
          <w:bCs/>
          <w:bdr w:val="none" w:sz="0" w:space="0" w:color="auto" w:frame="1"/>
          <w:lang w:eastAsia="hr-HR"/>
        </w:rPr>
      </w:pPr>
    </w:p>
    <w:p w14:paraId="6E1CD5EA" w14:textId="77777777" w:rsidR="0015738D" w:rsidRPr="00F657ED" w:rsidRDefault="0015738D" w:rsidP="0015738D">
      <w:pPr>
        <w:shd w:val="clear" w:color="auto" w:fill="FFFFFF"/>
        <w:jc w:val="both"/>
        <w:rPr>
          <w:rFonts w:ascii="Arial" w:hAnsi="Arial" w:cs="Arial"/>
          <w:bCs/>
          <w:bdr w:val="none" w:sz="0" w:space="0" w:color="auto" w:frame="1"/>
          <w:lang w:eastAsia="hr-HR"/>
        </w:rPr>
      </w:pPr>
      <w:r w:rsidRPr="00F657ED">
        <w:rPr>
          <w:rFonts w:ascii="Arial" w:hAnsi="Arial" w:cs="Arial"/>
          <w:b/>
          <w:bCs/>
          <w:bdr w:val="none" w:sz="0" w:space="0" w:color="auto" w:frame="1"/>
          <w:lang w:eastAsia="hr-HR"/>
        </w:rPr>
        <w:tab/>
      </w:r>
      <w:r w:rsidRPr="00F657ED">
        <w:rPr>
          <w:rFonts w:ascii="Arial" w:hAnsi="Arial" w:cs="Arial"/>
          <w:bCs/>
          <w:bdr w:val="none" w:sz="0" w:space="0" w:color="auto" w:frame="1"/>
          <w:lang w:eastAsia="hr-HR"/>
        </w:rPr>
        <w:t>Porezne stope iz članka 1. ove Odluke utvrđuju se kako slijedi:</w:t>
      </w:r>
    </w:p>
    <w:p w14:paraId="63476FA9" w14:textId="77777777" w:rsidR="0015738D" w:rsidRPr="00F657ED" w:rsidRDefault="0015738D" w:rsidP="0015738D">
      <w:pPr>
        <w:numPr>
          <w:ilvl w:val="0"/>
          <w:numId w:val="2"/>
        </w:numPr>
        <w:jc w:val="both"/>
        <w:rPr>
          <w:rFonts w:ascii="Arial" w:hAnsi="Arial" w:cs="Arial"/>
          <w:lang w:eastAsia="hr-HR"/>
        </w:rPr>
      </w:pPr>
      <w:r w:rsidRPr="00F657ED">
        <w:rPr>
          <w:rFonts w:ascii="Arial" w:hAnsi="Arial" w:cs="Arial"/>
          <w:bCs/>
          <w:bdr w:val="none" w:sz="0" w:space="0" w:color="auto" w:frame="1"/>
          <w:lang w:eastAsia="hr-HR"/>
        </w:rPr>
        <w:t xml:space="preserve">niža porezna stopa  </w:t>
      </w:r>
      <w:r w:rsidRPr="00F657ED">
        <w:rPr>
          <w:rFonts w:ascii="Arial" w:hAnsi="Arial" w:cs="Arial"/>
          <w:lang w:eastAsia="hr-HR"/>
        </w:rPr>
        <w:t>21,4%,</w:t>
      </w:r>
    </w:p>
    <w:p w14:paraId="469397C3" w14:textId="77777777" w:rsidR="0015738D" w:rsidRPr="00F657ED" w:rsidRDefault="0015738D" w:rsidP="0015738D">
      <w:pPr>
        <w:numPr>
          <w:ilvl w:val="0"/>
          <w:numId w:val="1"/>
        </w:numPr>
        <w:rPr>
          <w:rFonts w:ascii="Arial" w:hAnsi="Arial" w:cs="Arial"/>
          <w:lang w:eastAsia="hr-HR"/>
        </w:rPr>
      </w:pPr>
      <w:r w:rsidRPr="00F657ED">
        <w:rPr>
          <w:rFonts w:ascii="Arial" w:hAnsi="Arial" w:cs="Arial"/>
          <w:lang w:eastAsia="hr-HR"/>
        </w:rPr>
        <w:t>viša porezna stopa  32,1%.</w:t>
      </w:r>
    </w:p>
    <w:p w14:paraId="2731E6DD" w14:textId="77777777" w:rsidR="0015738D" w:rsidRPr="00F657ED" w:rsidRDefault="0015738D" w:rsidP="0015738D">
      <w:pPr>
        <w:shd w:val="clear" w:color="auto" w:fill="FFFFFF"/>
        <w:ind w:firstLine="720"/>
        <w:jc w:val="both"/>
        <w:rPr>
          <w:rFonts w:ascii="Arial" w:hAnsi="Arial" w:cs="Arial"/>
          <w:bCs/>
          <w:bdr w:val="none" w:sz="0" w:space="0" w:color="auto" w:frame="1"/>
          <w:lang w:eastAsia="hr-HR"/>
        </w:rPr>
      </w:pPr>
    </w:p>
    <w:p w14:paraId="407269A7" w14:textId="77777777" w:rsidR="0015738D" w:rsidRPr="00F657ED" w:rsidRDefault="0015738D" w:rsidP="0015738D">
      <w:pPr>
        <w:shd w:val="clear" w:color="auto" w:fill="FFFFFF"/>
        <w:ind w:firstLine="720"/>
        <w:jc w:val="both"/>
        <w:rPr>
          <w:rFonts w:ascii="Arial" w:hAnsi="Arial" w:cs="Arial"/>
          <w:bCs/>
          <w:bdr w:val="none" w:sz="0" w:space="0" w:color="auto" w:frame="1"/>
          <w:lang w:eastAsia="hr-HR"/>
        </w:rPr>
      </w:pPr>
    </w:p>
    <w:p w14:paraId="004BFC72" w14:textId="77777777" w:rsidR="0015738D" w:rsidRPr="00F657ED" w:rsidRDefault="0015738D" w:rsidP="0015738D">
      <w:pPr>
        <w:jc w:val="center"/>
        <w:rPr>
          <w:rFonts w:ascii="Arial" w:hAnsi="Arial" w:cs="Arial"/>
          <w:b/>
          <w:shd w:val="clear" w:color="auto" w:fill="FFFFFF"/>
          <w:lang w:eastAsia="hr-HR"/>
        </w:rPr>
      </w:pPr>
      <w:r w:rsidRPr="00F657ED">
        <w:rPr>
          <w:rFonts w:ascii="Arial" w:hAnsi="Arial" w:cs="Arial"/>
          <w:b/>
          <w:shd w:val="clear" w:color="auto" w:fill="FFFFFF"/>
          <w:lang w:eastAsia="hr-HR"/>
        </w:rPr>
        <w:t xml:space="preserve">Članak 3. </w:t>
      </w:r>
    </w:p>
    <w:p w14:paraId="7E204D8B" w14:textId="77777777" w:rsidR="0015738D" w:rsidRPr="00F657ED" w:rsidRDefault="0015738D" w:rsidP="0015738D">
      <w:pPr>
        <w:jc w:val="center"/>
        <w:rPr>
          <w:rFonts w:ascii="Arial" w:hAnsi="Arial" w:cs="Arial"/>
          <w:b/>
          <w:shd w:val="clear" w:color="auto" w:fill="FFFFFF"/>
          <w:lang w:eastAsia="hr-HR"/>
        </w:rPr>
      </w:pPr>
    </w:p>
    <w:p w14:paraId="384BCD2D" w14:textId="77777777" w:rsidR="0015738D" w:rsidRPr="00F657ED" w:rsidRDefault="0015738D" w:rsidP="0015738D">
      <w:pPr>
        <w:ind w:firstLine="709"/>
        <w:jc w:val="both"/>
        <w:rPr>
          <w:rFonts w:ascii="Arial" w:hAnsi="Arial" w:cs="Arial"/>
          <w:shd w:val="clear" w:color="auto" w:fill="FFFFFF"/>
          <w:lang w:eastAsia="hr-HR"/>
        </w:rPr>
      </w:pPr>
      <w:r w:rsidRPr="00F657ED">
        <w:rPr>
          <w:rFonts w:ascii="Arial" w:hAnsi="Arial" w:cs="Arial"/>
          <w:shd w:val="clear" w:color="auto" w:fill="FFFFFF"/>
          <w:lang w:eastAsia="hr-HR"/>
        </w:rPr>
        <w:t xml:space="preserve">Ova Odluka objavit će se u „Narodnim novinama“ i </w:t>
      </w:r>
      <w:r>
        <w:rPr>
          <w:rFonts w:ascii="Arial" w:hAnsi="Arial" w:cs="Arial"/>
          <w:shd w:val="clear" w:color="auto" w:fill="FFFFFF"/>
          <w:lang w:eastAsia="hr-HR"/>
        </w:rPr>
        <w:t>„</w:t>
      </w:r>
      <w:r w:rsidRPr="00F657ED">
        <w:rPr>
          <w:rFonts w:ascii="Arial" w:hAnsi="Arial" w:cs="Arial"/>
          <w:shd w:val="clear" w:color="auto" w:fill="FFFFFF"/>
          <w:lang w:eastAsia="hr-HR"/>
        </w:rPr>
        <w:t>Službenom vjesniku Grada Otočca</w:t>
      </w:r>
      <w:r>
        <w:rPr>
          <w:rFonts w:ascii="Arial" w:hAnsi="Arial" w:cs="Arial"/>
          <w:shd w:val="clear" w:color="auto" w:fill="FFFFFF"/>
          <w:lang w:eastAsia="hr-HR"/>
        </w:rPr>
        <w:t>“</w:t>
      </w:r>
      <w:r w:rsidRPr="00F657ED">
        <w:rPr>
          <w:rFonts w:ascii="Arial" w:hAnsi="Arial" w:cs="Arial"/>
          <w:shd w:val="clear" w:color="auto" w:fill="FFFFFF"/>
          <w:lang w:eastAsia="hr-HR"/>
        </w:rPr>
        <w:t>, a stupa na snagu 1. siječnja 2024. godine.</w:t>
      </w:r>
    </w:p>
    <w:p w14:paraId="4F0B0CFD" w14:textId="77777777" w:rsidR="0015738D" w:rsidRPr="00F657ED" w:rsidRDefault="0015738D" w:rsidP="0015738D">
      <w:pPr>
        <w:ind w:firstLine="709"/>
        <w:jc w:val="both"/>
        <w:rPr>
          <w:rFonts w:ascii="Arial" w:hAnsi="Arial" w:cs="Arial"/>
          <w:shd w:val="clear" w:color="auto" w:fill="FFFFFF"/>
          <w:lang w:eastAsia="hr-HR"/>
        </w:rPr>
      </w:pPr>
    </w:p>
    <w:p w14:paraId="75FE3759" w14:textId="77777777" w:rsidR="0015738D" w:rsidRPr="00F657ED" w:rsidRDefault="0015738D" w:rsidP="0015738D">
      <w:pPr>
        <w:tabs>
          <w:tab w:val="center" w:pos="4320"/>
          <w:tab w:val="right" w:pos="8640"/>
        </w:tabs>
        <w:rPr>
          <w:rFonts w:ascii="Arial" w:hAnsi="Arial" w:cs="Arial"/>
          <w:lang w:eastAsia="hr-HR"/>
        </w:rPr>
      </w:pPr>
    </w:p>
    <w:p w14:paraId="349E51AF" w14:textId="77777777" w:rsidR="0015738D" w:rsidRPr="00F657ED" w:rsidRDefault="0015738D" w:rsidP="0015738D">
      <w:pPr>
        <w:tabs>
          <w:tab w:val="center" w:pos="4320"/>
          <w:tab w:val="right" w:pos="8640"/>
        </w:tabs>
        <w:rPr>
          <w:rFonts w:ascii="Arial" w:hAnsi="Arial" w:cs="Arial"/>
          <w:lang w:eastAsia="hr-HR"/>
        </w:rPr>
      </w:pPr>
    </w:p>
    <w:p w14:paraId="38B08642" w14:textId="77777777" w:rsidR="0015738D" w:rsidRPr="00F657ED" w:rsidRDefault="0015738D" w:rsidP="0015738D">
      <w:pPr>
        <w:jc w:val="both"/>
        <w:rPr>
          <w:rFonts w:ascii="Arial" w:hAnsi="Arial" w:cs="Arial"/>
          <w:b/>
          <w:sz w:val="28"/>
          <w:szCs w:val="28"/>
        </w:rPr>
      </w:pPr>
    </w:p>
    <w:p w14:paraId="671B6A17" w14:textId="77777777" w:rsidR="0015738D" w:rsidRPr="00F657ED" w:rsidRDefault="0015738D" w:rsidP="0015738D">
      <w:pPr>
        <w:jc w:val="both"/>
        <w:rPr>
          <w:rFonts w:ascii="Arial" w:hAnsi="Arial" w:cs="Arial"/>
          <w:b/>
          <w:sz w:val="28"/>
          <w:szCs w:val="28"/>
        </w:rPr>
      </w:pPr>
    </w:p>
    <w:p w14:paraId="21C1E593" w14:textId="77777777" w:rsidR="0015738D" w:rsidRPr="00F657ED" w:rsidRDefault="0015738D" w:rsidP="0015738D">
      <w:pPr>
        <w:jc w:val="both"/>
        <w:rPr>
          <w:rFonts w:ascii="Arial" w:hAnsi="Arial" w:cs="Arial"/>
          <w:b/>
          <w:sz w:val="28"/>
          <w:szCs w:val="28"/>
        </w:rPr>
      </w:pPr>
    </w:p>
    <w:p w14:paraId="2690FD7D" w14:textId="77777777" w:rsidR="0015738D" w:rsidRPr="00F657ED" w:rsidRDefault="0015738D" w:rsidP="0015738D">
      <w:pPr>
        <w:pStyle w:val="Bezproreda"/>
        <w:jc w:val="both"/>
        <w:rPr>
          <w:rFonts w:ascii="Arial" w:hAnsi="Arial" w:cs="Arial"/>
          <w:sz w:val="24"/>
          <w:szCs w:val="24"/>
        </w:rPr>
      </w:pPr>
    </w:p>
    <w:p w14:paraId="23596A05" w14:textId="77777777" w:rsidR="0015738D" w:rsidRPr="00F657ED" w:rsidRDefault="0015738D" w:rsidP="0015738D">
      <w:pPr>
        <w:pStyle w:val="Bezproreda"/>
        <w:jc w:val="both"/>
        <w:rPr>
          <w:rFonts w:ascii="Arial" w:hAnsi="Arial" w:cs="Arial"/>
          <w:sz w:val="24"/>
          <w:szCs w:val="24"/>
        </w:rPr>
      </w:pPr>
    </w:p>
    <w:p w14:paraId="384511D7" w14:textId="77777777" w:rsidR="0015738D" w:rsidRPr="00F657ED" w:rsidRDefault="0015738D" w:rsidP="0015738D">
      <w:pPr>
        <w:pStyle w:val="Bezproreda"/>
        <w:jc w:val="both"/>
        <w:rPr>
          <w:rFonts w:ascii="Arial" w:hAnsi="Arial" w:cs="Arial"/>
          <w:sz w:val="24"/>
          <w:szCs w:val="24"/>
        </w:rPr>
      </w:pPr>
      <w:r w:rsidRPr="00F657ED">
        <w:rPr>
          <w:rFonts w:ascii="Arial" w:hAnsi="Arial" w:cs="Arial"/>
          <w:sz w:val="24"/>
          <w:szCs w:val="24"/>
        </w:rPr>
        <w:t xml:space="preserve">KLASA: </w:t>
      </w:r>
    </w:p>
    <w:p w14:paraId="4CCA3EA5" w14:textId="77777777" w:rsidR="0015738D" w:rsidRPr="00F657ED" w:rsidRDefault="0015738D" w:rsidP="0015738D">
      <w:pPr>
        <w:pStyle w:val="Bezproreda"/>
        <w:tabs>
          <w:tab w:val="center" w:pos="6521"/>
        </w:tabs>
        <w:jc w:val="both"/>
        <w:rPr>
          <w:rFonts w:ascii="Arial" w:hAnsi="Arial" w:cs="Arial"/>
          <w:sz w:val="24"/>
          <w:szCs w:val="24"/>
        </w:rPr>
      </w:pPr>
      <w:r w:rsidRPr="00F657ED">
        <w:rPr>
          <w:rFonts w:ascii="Arial" w:hAnsi="Arial" w:cs="Arial"/>
          <w:sz w:val="24"/>
          <w:szCs w:val="24"/>
        </w:rPr>
        <w:t>URBROJ: 2125-2-01-22-</w:t>
      </w:r>
      <w:r w:rsidRPr="00F657ED">
        <w:rPr>
          <w:rFonts w:ascii="Arial" w:hAnsi="Arial" w:cs="Arial"/>
          <w:sz w:val="24"/>
          <w:szCs w:val="24"/>
        </w:rPr>
        <w:tab/>
        <w:t>Predsjednik</w:t>
      </w:r>
    </w:p>
    <w:p w14:paraId="05D21C1B" w14:textId="77777777" w:rsidR="0015738D" w:rsidRPr="00F657ED" w:rsidRDefault="0015738D" w:rsidP="0015738D">
      <w:pPr>
        <w:pStyle w:val="Bezproreda"/>
        <w:tabs>
          <w:tab w:val="center" w:pos="6237"/>
        </w:tabs>
        <w:jc w:val="both"/>
        <w:rPr>
          <w:rFonts w:ascii="Arial" w:hAnsi="Arial" w:cs="Arial"/>
          <w:sz w:val="24"/>
          <w:szCs w:val="24"/>
        </w:rPr>
      </w:pPr>
      <w:r w:rsidRPr="00F657ED">
        <w:rPr>
          <w:rFonts w:ascii="Arial" w:hAnsi="Arial" w:cs="Arial"/>
          <w:sz w:val="24"/>
          <w:szCs w:val="24"/>
        </w:rPr>
        <w:t>Otočac,</w:t>
      </w:r>
      <w:r w:rsidRPr="00F657ED">
        <w:rPr>
          <w:rFonts w:ascii="Arial" w:hAnsi="Arial" w:cs="Arial"/>
          <w:sz w:val="24"/>
          <w:szCs w:val="24"/>
        </w:rPr>
        <w:tab/>
        <w:t xml:space="preserve">              </w:t>
      </w:r>
    </w:p>
    <w:p w14:paraId="688CFB51" w14:textId="77777777" w:rsidR="0015738D" w:rsidRPr="00F657ED" w:rsidRDefault="0015738D" w:rsidP="0015738D">
      <w:pPr>
        <w:pStyle w:val="Bezproreda"/>
        <w:tabs>
          <w:tab w:val="center" w:pos="6237"/>
        </w:tabs>
        <w:jc w:val="both"/>
        <w:rPr>
          <w:rFonts w:ascii="Arial" w:hAnsi="Arial" w:cs="Arial"/>
          <w:sz w:val="24"/>
          <w:szCs w:val="24"/>
        </w:rPr>
      </w:pPr>
      <w:r w:rsidRPr="00F657ED">
        <w:rPr>
          <w:rFonts w:ascii="Arial" w:hAnsi="Arial" w:cs="Arial"/>
          <w:sz w:val="24"/>
          <w:szCs w:val="24"/>
        </w:rPr>
        <w:tab/>
        <w:t xml:space="preserve">             Tino Ostović, </w:t>
      </w:r>
      <w:proofErr w:type="spellStart"/>
      <w:r w:rsidRPr="00F657ED">
        <w:rPr>
          <w:rFonts w:ascii="Arial" w:hAnsi="Arial" w:cs="Arial"/>
          <w:sz w:val="24"/>
          <w:szCs w:val="24"/>
        </w:rPr>
        <w:t>mag.eur.pos.stud</w:t>
      </w:r>
      <w:proofErr w:type="spellEnd"/>
      <w:r w:rsidRPr="00F657ED">
        <w:rPr>
          <w:rFonts w:ascii="Arial" w:hAnsi="Arial" w:cs="Arial"/>
          <w:sz w:val="24"/>
          <w:szCs w:val="24"/>
        </w:rPr>
        <w:t>.</w:t>
      </w:r>
    </w:p>
    <w:p w14:paraId="03924585" w14:textId="77777777" w:rsidR="0015738D" w:rsidRPr="00F657ED" w:rsidRDefault="0015738D" w:rsidP="0015738D">
      <w:pPr>
        <w:jc w:val="both"/>
        <w:rPr>
          <w:rFonts w:ascii="Arial" w:hAnsi="Arial" w:cs="Arial"/>
          <w:b/>
          <w:sz w:val="28"/>
          <w:szCs w:val="28"/>
        </w:rPr>
      </w:pPr>
    </w:p>
    <w:p w14:paraId="3D864E53" w14:textId="77777777" w:rsidR="002A356C" w:rsidRDefault="002A356C"/>
    <w:p w14:paraId="63B267F2" w14:textId="77777777" w:rsidR="005D36E8" w:rsidRDefault="005D36E8"/>
    <w:p w14:paraId="20135BC2" w14:textId="77777777" w:rsidR="005D36E8" w:rsidRDefault="005D36E8"/>
    <w:p w14:paraId="0B6D8146" w14:textId="77777777" w:rsidR="005D36E8" w:rsidRDefault="005D36E8"/>
    <w:p w14:paraId="72CB3C45" w14:textId="77777777" w:rsidR="005D36E8" w:rsidRDefault="005D36E8"/>
    <w:p w14:paraId="5AA79353" w14:textId="77777777" w:rsidR="005D36E8" w:rsidRDefault="005D36E8"/>
    <w:p w14:paraId="46858F9E" w14:textId="77777777" w:rsidR="005D36E8" w:rsidRDefault="005D36E8"/>
    <w:p w14:paraId="0E25C437" w14:textId="77777777" w:rsidR="005D36E8" w:rsidRDefault="005D36E8"/>
    <w:p w14:paraId="46BE0C78" w14:textId="77777777" w:rsidR="005D36E8" w:rsidRDefault="005D36E8"/>
    <w:p w14:paraId="55518C87" w14:textId="77777777" w:rsidR="005D36E8" w:rsidRPr="00F45595" w:rsidRDefault="005D36E8" w:rsidP="005D36E8">
      <w:pPr>
        <w:jc w:val="both"/>
        <w:rPr>
          <w:rFonts w:ascii="Arial" w:hAnsi="Arial" w:cs="Arial"/>
        </w:rPr>
      </w:pPr>
    </w:p>
    <w:p w14:paraId="3488F142" w14:textId="77777777" w:rsidR="005D36E8" w:rsidRPr="00F45595" w:rsidRDefault="005D36E8" w:rsidP="005D36E8">
      <w:pPr>
        <w:jc w:val="center"/>
        <w:rPr>
          <w:rFonts w:ascii="Arial" w:hAnsi="Arial" w:cs="Arial"/>
          <w:b/>
        </w:rPr>
      </w:pPr>
      <w:r w:rsidRPr="00F45595">
        <w:rPr>
          <w:rFonts w:ascii="Arial" w:hAnsi="Arial" w:cs="Arial"/>
          <w:b/>
        </w:rPr>
        <w:t>O B R A Z L O Ž E N J E</w:t>
      </w:r>
    </w:p>
    <w:p w14:paraId="049C3F21" w14:textId="77777777" w:rsidR="005D36E8" w:rsidRPr="00F45595" w:rsidRDefault="005D36E8" w:rsidP="005D36E8">
      <w:pPr>
        <w:jc w:val="center"/>
        <w:rPr>
          <w:rFonts w:ascii="Arial" w:hAnsi="Arial" w:cs="Arial"/>
          <w:b/>
        </w:rPr>
      </w:pPr>
      <w:r w:rsidRPr="00F45595">
        <w:rPr>
          <w:rFonts w:ascii="Arial" w:hAnsi="Arial" w:cs="Arial"/>
          <w:b/>
        </w:rPr>
        <w:t>Nacrta prijedloga Odluke o visini poreznih stopa godišnjeg poreza na dohodak</w:t>
      </w:r>
    </w:p>
    <w:p w14:paraId="792E99C5" w14:textId="77777777" w:rsidR="005D36E8" w:rsidRPr="00F45595" w:rsidRDefault="005D36E8" w:rsidP="005D36E8">
      <w:pPr>
        <w:jc w:val="center"/>
        <w:rPr>
          <w:rFonts w:ascii="Arial" w:hAnsi="Arial" w:cs="Arial"/>
          <w:b/>
        </w:rPr>
      </w:pPr>
      <w:r w:rsidRPr="00F45595">
        <w:rPr>
          <w:rFonts w:ascii="Arial" w:hAnsi="Arial" w:cs="Arial"/>
          <w:b/>
        </w:rPr>
        <w:t>na području grada Otočca</w:t>
      </w:r>
    </w:p>
    <w:p w14:paraId="0BCE1108" w14:textId="77777777" w:rsidR="005D36E8" w:rsidRPr="00F45595" w:rsidRDefault="005D36E8" w:rsidP="005D36E8">
      <w:pPr>
        <w:pStyle w:val="Default"/>
        <w:jc w:val="both"/>
        <w:rPr>
          <w:color w:val="auto"/>
        </w:rPr>
      </w:pPr>
    </w:p>
    <w:p w14:paraId="7B701A1F" w14:textId="77777777" w:rsidR="005D36E8" w:rsidRPr="00F45595" w:rsidRDefault="005D36E8" w:rsidP="005D36E8">
      <w:pPr>
        <w:pStyle w:val="Default"/>
        <w:ind w:firstLine="720"/>
        <w:jc w:val="both"/>
        <w:rPr>
          <w:color w:val="auto"/>
        </w:rPr>
      </w:pPr>
      <w:r w:rsidRPr="00F45595">
        <w:rPr>
          <w:color w:val="auto"/>
        </w:rPr>
        <w:t xml:space="preserve">Zakonom o izmjenama i dopuni Zakona o lokalnim porezima („Narodne novine“ broj 114/23),  kojeg je Hrvatski sabor donio 28. rujna 2023. godine, ukinut je prirez porezu na dohodak kao jedan od poreza koje su, temeljem dosadašnjih odredbi Zakona o lokalnim porezima („Narodne novine“ broj 115/16, 101/17 i 114/22) mogle uvesti jedinice lokalne samouprave (gradovi i općine). Istoga dana donesen je i Zakon o izmjenama i dopunama Zakona o porezu na dohodak („Narodne novine“ broj 114/23), kojim su, pored ostalog, slijedom navedenog ukidanja prireza porezu na dohodak ukinute i odredbe dosadašnjeg Zakona o porezu na dohodak („Narodne novine“ broj 115/16, 106/18, 121/19, 32/20, 138/20 i 151/22), kojima je bilo propisano da se porez na dohodak uvećava za iznos prireza porezu na dohodak. </w:t>
      </w:r>
    </w:p>
    <w:p w14:paraId="16A71CA3" w14:textId="77777777" w:rsidR="005D36E8" w:rsidRPr="00F45595" w:rsidRDefault="005D36E8" w:rsidP="005D36E8">
      <w:pPr>
        <w:pStyle w:val="Default"/>
        <w:ind w:firstLine="720"/>
        <w:jc w:val="both"/>
        <w:rPr>
          <w:color w:val="auto"/>
        </w:rPr>
      </w:pPr>
      <w:r w:rsidRPr="00F45595">
        <w:rPr>
          <w:color w:val="auto"/>
        </w:rPr>
        <w:t xml:space="preserve">Prirez porezu na dohodak je vrijednosno značajan izvor prihoda jedinica lokalne samouprave, pri čemu su, sukladno dosadašnjim propisima jedinice lokalne samouprave odnosno gradovi i općine mogli samostalno odlučivati o njegovu uvođenju, kao i o visini stope prireza porezu na dohodak unutar zakonom propisanog raspona. </w:t>
      </w:r>
    </w:p>
    <w:p w14:paraId="240258FB" w14:textId="77777777" w:rsidR="005D36E8" w:rsidRPr="00F45595" w:rsidRDefault="005D36E8" w:rsidP="005D36E8">
      <w:pPr>
        <w:pStyle w:val="Default"/>
        <w:ind w:firstLine="720"/>
        <w:jc w:val="both"/>
        <w:rPr>
          <w:color w:val="auto"/>
        </w:rPr>
      </w:pPr>
      <w:r w:rsidRPr="00F45595">
        <w:rPr>
          <w:color w:val="auto"/>
        </w:rPr>
        <w:t>U tom smislu je, sukladno dosadašnjim zakonskim odredbama, još uvijek važećom Odlukom o porezima Grada Otočca („Narodne novine</w:t>
      </w:r>
      <w:r>
        <w:rPr>
          <w:color w:val="auto"/>
        </w:rPr>
        <w:t>“</w:t>
      </w:r>
      <w:r w:rsidRPr="00F45595">
        <w:rPr>
          <w:color w:val="auto"/>
        </w:rPr>
        <w:t xml:space="preserve"> 138/2021),  kao jedan od gradskih poreza utvrđen upravo prirez porezu na dohodak, s propisanom stopom od 7%. S obzirom na ukidanje prireza porezu na dohodak i citiranu Odluku o porezima Grada Otočca bit će potrebno odgovarajuće uskladiti s navedenim zakonskih izmjenama, što nije predmet ovoga materijala. </w:t>
      </w:r>
    </w:p>
    <w:p w14:paraId="091C5EC4" w14:textId="77777777" w:rsidR="005D36E8" w:rsidRPr="00F45595" w:rsidRDefault="005D36E8" w:rsidP="005D36E8">
      <w:pPr>
        <w:pStyle w:val="Default"/>
        <w:ind w:firstLine="720"/>
        <w:jc w:val="both"/>
        <w:rPr>
          <w:color w:val="auto"/>
        </w:rPr>
      </w:pPr>
    </w:p>
    <w:p w14:paraId="206C46EB" w14:textId="77777777" w:rsidR="005D36E8" w:rsidRPr="00F45595" w:rsidRDefault="005D36E8" w:rsidP="005D36E8">
      <w:pPr>
        <w:pStyle w:val="Default"/>
        <w:ind w:firstLine="720"/>
        <w:jc w:val="both"/>
        <w:rPr>
          <w:color w:val="auto"/>
        </w:rPr>
      </w:pPr>
      <w:r w:rsidRPr="00F45595">
        <w:rPr>
          <w:color w:val="auto"/>
        </w:rPr>
        <w:t xml:space="preserve">Kako bi se jedinicama lokalne samouprave nadoknadio značajan gubitak prihoda uslijed ukidanja prireza porezu na dohodak, odredbama izmijenjenog Zakona o porezu na dohodak („Narodne novine“ broj 115/16, 106/18, 121/19, 32/20, 138/20, 151/22 i 114/23) – dalje: Zakon, gradovima i općinama omogućeno je da svojim odlukama samostalno upravljaju visinom stopa poreza na dohodak odnosno da propišu visinu stope ovoga poreza u Zakonom utvrđenim granicama za godišnje dohotke (dohodak od nesamostalnog rada, samostalne djelatnosti i drugi dohodak koji se ne smatra konačnim), a u svrhu postizanja ciljane visine prihoda potrebnih za nesmetano provođenje i ostvarivanje propisima utvrđenih poslova i zadataka jedinica lokalne samouprave. </w:t>
      </w:r>
    </w:p>
    <w:p w14:paraId="74E9644F" w14:textId="77777777" w:rsidR="005D36E8" w:rsidRPr="00F45595" w:rsidRDefault="005D36E8" w:rsidP="005D36E8">
      <w:pPr>
        <w:pStyle w:val="Default"/>
        <w:ind w:firstLine="720"/>
        <w:jc w:val="both"/>
        <w:rPr>
          <w:color w:val="auto"/>
        </w:rPr>
      </w:pPr>
      <w:r w:rsidRPr="00F45595">
        <w:rPr>
          <w:color w:val="auto"/>
        </w:rPr>
        <w:t>Potrebno je napomenuti da su navedene zakonske izmjene donesene radi povećanja fiskalne autonomije jedinica lokalne samouprave u poreznim prihodima, kakvu ima većina zemalja u svijetu, pri čemu će lokalne jedinice moći samostalno, svojim odlukama, upravljati visinom poreznih stopa za godišnje dohotke koje ostvaruju fizičke osobe, a što je u skladu s Europskom poveljom o lokalnoj samoupravi. Naime, prema navedenoj Povelji najmanje dio prihoda lokalnih jedinica mora proizlaziti iz poreza i naknada, stope kojih, u granicama utvrđenim Zakonom, određuju same lokalne jedinice.</w:t>
      </w:r>
    </w:p>
    <w:p w14:paraId="38BA1AB8" w14:textId="77777777" w:rsidR="005D36E8" w:rsidRPr="00F45595" w:rsidRDefault="005D36E8" w:rsidP="005D36E8">
      <w:pPr>
        <w:pStyle w:val="Default"/>
        <w:ind w:firstLine="720"/>
        <w:jc w:val="both"/>
        <w:rPr>
          <w:color w:val="auto"/>
        </w:rPr>
      </w:pPr>
    </w:p>
    <w:p w14:paraId="569FCD99" w14:textId="77777777" w:rsidR="005D36E8" w:rsidRPr="00F45595" w:rsidRDefault="005D36E8" w:rsidP="005D36E8">
      <w:pPr>
        <w:pStyle w:val="Default"/>
        <w:ind w:firstLine="720"/>
        <w:jc w:val="both"/>
        <w:rPr>
          <w:color w:val="auto"/>
        </w:rPr>
      </w:pPr>
      <w:r w:rsidRPr="00F45595">
        <w:rPr>
          <w:color w:val="auto"/>
        </w:rPr>
        <w:t xml:space="preserve">Slijedom navedenog, člankom 19.a Zakona propisano je da visine poreznih stopa određuju predstavnička tijela jedinica lokalne samouprave svojom odlukom, pri čemu grad do 30.000 stanovnika (u koju kategoriju pripada i Otočac) nižu stopu propisuje u granicama od 15% do 22,4% te višu stopu u granicama od 25% do 33,6%. Sukladno odredbi članka 38. stavka 2. navedenog Zakona o izmjenama i dopunama Zakona o porezu na dohodak, jedinice lokalne samouprave, pa tako i Grad Otočac, dužne su navedenu Odluku o visini poreznih stopa godišnjeg poreza na dohodak donijeti i objaviti do kraja 2023. godine, pri čemu sama </w:t>
      </w:r>
      <w:r>
        <w:rPr>
          <w:color w:val="auto"/>
        </w:rPr>
        <w:t>O</w:t>
      </w:r>
      <w:r w:rsidRPr="00F45595">
        <w:rPr>
          <w:color w:val="auto"/>
        </w:rPr>
        <w:t>dluka stupa na snagu 1. siječnja 2024. godine.</w:t>
      </w:r>
    </w:p>
    <w:p w14:paraId="4B9F4EBB" w14:textId="77777777" w:rsidR="005D36E8" w:rsidRPr="00F45595" w:rsidRDefault="005D36E8" w:rsidP="005D36E8">
      <w:pPr>
        <w:pStyle w:val="Default"/>
        <w:ind w:firstLine="720"/>
        <w:jc w:val="both"/>
        <w:rPr>
          <w:color w:val="auto"/>
        </w:rPr>
      </w:pPr>
    </w:p>
    <w:p w14:paraId="399C4835" w14:textId="77777777" w:rsidR="005D36E8" w:rsidRPr="00F45595" w:rsidRDefault="005D36E8" w:rsidP="005D36E8">
      <w:pPr>
        <w:ind w:firstLine="720"/>
        <w:jc w:val="both"/>
        <w:rPr>
          <w:rFonts w:ascii="Arial" w:hAnsi="Arial" w:cs="Arial"/>
        </w:rPr>
      </w:pPr>
      <w:r w:rsidRPr="00F45595">
        <w:rPr>
          <w:rFonts w:ascii="Arial" w:hAnsi="Arial" w:cs="Arial"/>
        </w:rPr>
        <w:lastRenderedPageBreak/>
        <w:t>Pored ukidanja prireza porezu na dohodak, Zakonom su u odnosu na godišnje dohotke utvrđene i slijedeće promjene:</w:t>
      </w:r>
    </w:p>
    <w:p w14:paraId="3B8ADECA" w14:textId="77777777" w:rsidR="005D36E8" w:rsidRPr="00F45595" w:rsidRDefault="005D36E8" w:rsidP="005D36E8">
      <w:pPr>
        <w:pStyle w:val="Odlomakpopisa"/>
        <w:numPr>
          <w:ilvl w:val="0"/>
          <w:numId w:val="3"/>
        </w:numPr>
        <w:spacing w:line="240" w:lineRule="auto"/>
        <w:jc w:val="both"/>
        <w:rPr>
          <w:rFonts w:ascii="Arial" w:hAnsi="Arial" w:cs="Arial"/>
          <w:sz w:val="24"/>
          <w:szCs w:val="24"/>
        </w:rPr>
      </w:pPr>
      <w:r w:rsidRPr="00F45595">
        <w:rPr>
          <w:rFonts w:ascii="Arial" w:hAnsi="Arial" w:cs="Arial"/>
          <w:sz w:val="24"/>
          <w:szCs w:val="24"/>
        </w:rPr>
        <w:t>povećan je iznos mjesečnog osnovnog osobnog odbitka sa sadašnjih 530,90 eura na 560,00 eura (povećanje za 5,5%) te su povećani iznosi osobnog odbitka za uzdržavane članove obitelji i djecu (povećanje u prosjeku za 27,7%) te invalidnost (povećanje u prosjeku za 19,5%),</w:t>
      </w:r>
    </w:p>
    <w:p w14:paraId="5991B470" w14:textId="77777777" w:rsidR="005D36E8" w:rsidRPr="00F45595" w:rsidRDefault="005D36E8" w:rsidP="005D36E8">
      <w:pPr>
        <w:pStyle w:val="Odlomakpopisa"/>
        <w:numPr>
          <w:ilvl w:val="0"/>
          <w:numId w:val="3"/>
        </w:numPr>
        <w:spacing w:line="240" w:lineRule="auto"/>
        <w:jc w:val="both"/>
        <w:rPr>
          <w:rFonts w:ascii="Arial" w:hAnsi="Arial" w:cs="Arial"/>
          <w:sz w:val="24"/>
          <w:szCs w:val="24"/>
        </w:rPr>
      </w:pPr>
      <w:r w:rsidRPr="00F45595">
        <w:rPr>
          <w:rFonts w:ascii="Arial" w:hAnsi="Arial" w:cs="Arial"/>
          <w:sz w:val="24"/>
          <w:szCs w:val="24"/>
        </w:rPr>
        <w:t>povećanje iznosa mjesečne porezne osnovice na koju se obračunava niža stopa poreza (sada je niža stopa 20%) sa sadašnjih 3.981,69 eura na 4.200,00 eura (povećanje za 5,5%), odnosno povećanje godišnje porezne osnovice s 47.780,28 eura na 50.400,00 eura.</w:t>
      </w:r>
    </w:p>
    <w:p w14:paraId="45C40A59" w14:textId="77777777" w:rsidR="005D36E8" w:rsidRPr="00F45595" w:rsidRDefault="005D36E8" w:rsidP="005D36E8">
      <w:pPr>
        <w:pStyle w:val="Odlomakpopisa"/>
        <w:spacing w:line="240" w:lineRule="auto"/>
        <w:ind w:left="0"/>
        <w:jc w:val="both"/>
        <w:rPr>
          <w:rFonts w:ascii="Arial" w:eastAsia="Times New Roman" w:hAnsi="Arial" w:cs="Arial"/>
          <w:sz w:val="24"/>
          <w:szCs w:val="24"/>
        </w:rPr>
      </w:pPr>
      <w:r w:rsidRPr="00F45595">
        <w:rPr>
          <w:rFonts w:ascii="Arial" w:eastAsia="Times New Roman" w:hAnsi="Arial" w:cs="Arial"/>
          <w:sz w:val="24"/>
          <w:szCs w:val="24"/>
        </w:rPr>
        <w:t>Citiranim promjenama smanjit će se porezno opterećenje i povećati neto primanja odnosno raspoloživi dohodak poreznih obveznika.</w:t>
      </w:r>
    </w:p>
    <w:p w14:paraId="0CCDD41F" w14:textId="77777777" w:rsidR="005D36E8" w:rsidRPr="00F45595" w:rsidRDefault="005D36E8" w:rsidP="005D36E8">
      <w:pPr>
        <w:ind w:firstLine="708"/>
        <w:jc w:val="both"/>
        <w:rPr>
          <w:rFonts w:ascii="Arial" w:hAnsi="Arial" w:cs="Arial"/>
        </w:rPr>
      </w:pPr>
      <w:r w:rsidRPr="00F45595">
        <w:rPr>
          <w:rFonts w:ascii="Arial" w:hAnsi="Arial" w:cs="Arial"/>
        </w:rPr>
        <w:t xml:space="preserve">Međutim, navedenim izmjenama zakonskih propisa posljedično će se smanjiti prihodi od poreza i prireza na dohodak za Grad Otočac. Naime, povećanje osobnih odbitaka izravno utječe na smanjenje porezne osnovice za obračun poreza na dohodak, no najveće smanjenje prihoda očekuje se zbog ukidanja prireza porezu na dohodak koji se u ovoj godini naplaćuje po stopi od 7%. </w:t>
      </w:r>
    </w:p>
    <w:p w14:paraId="4F4F704B" w14:textId="77777777" w:rsidR="005D36E8" w:rsidRPr="00F45595" w:rsidRDefault="005D36E8" w:rsidP="005D36E8">
      <w:pPr>
        <w:ind w:firstLine="708"/>
        <w:jc w:val="both"/>
        <w:rPr>
          <w:rFonts w:ascii="Arial" w:hAnsi="Arial" w:cs="Arial"/>
        </w:rPr>
      </w:pPr>
    </w:p>
    <w:p w14:paraId="3593CE94" w14:textId="77777777" w:rsidR="005D36E8" w:rsidRPr="00F45595" w:rsidRDefault="005D36E8" w:rsidP="005D36E8">
      <w:pPr>
        <w:ind w:firstLine="708"/>
        <w:jc w:val="both"/>
        <w:rPr>
          <w:rFonts w:ascii="Arial" w:hAnsi="Arial" w:cs="Arial"/>
        </w:rPr>
      </w:pPr>
      <w:r w:rsidRPr="00F45595">
        <w:rPr>
          <w:rFonts w:ascii="Arial" w:hAnsi="Arial" w:cs="Arial"/>
        </w:rPr>
        <w:t>S obzirom na značajan gubitak poreznih prihoda, prvenstveno zbog ukidanja prireza porezu na dohodak, Zakonom je propisana mogućnost da jedinice lokalne samouprave  svojim odlukama propišu visinu poreznih stopa za godišnje dohotke u zakonskim granicama, ovisno o broju stanovnika, a kako bi na taj način zadržale razinu prihoda koja im je potrebna za obavljanje zadaća iz svoje nadležnosti sukladno propisima. Sukladno članku 19.a Zakona predstavničko tijelo jedinica lokalne samouprave može svojom odlukom propisati visine poreznih stopa (nižu i višu stopu), raspon kojih je utvrđen ovisno o veličini jedinice lokalne samouprave i koje su, u odnosu na važeće stope poreza na dohodak, uvećane za dosadašnji maksimalno mogući prirez, kako slijedi:</w:t>
      </w:r>
    </w:p>
    <w:p w14:paraId="0268DBBC" w14:textId="77777777" w:rsidR="005D36E8" w:rsidRPr="00F45595" w:rsidRDefault="005D36E8" w:rsidP="005D36E8">
      <w:pPr>
        <w:ind w:firstLine="708"/>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552"/>
        <w:gridCol w:w="2954"/>
      </w:tblGrid>
      <w:tr w:rsidR="005D36E8" w:rsidRPr="00F45595" w14:paraId="2FB7AB4D" w14:textId="77777777" w:rsidTr="00294E62">
        <w:trPr>
          <w:trHeight w:val="1106"/>
        </w:trPr>
        <w:tc>
          <w:tcPr>
            <w:tcW w:w="3118" w:type="dxa"/>
            <w:shd w:val="clear" w:color="auto" w:fill="auto"/>
            <w:vAlign w:val="center"/>
          </w:tcPr>
          <w:p w14:paraId="0BC27838" w14:textId="77777777" w:rsidR="005D36E8" w:rsidRPr="00F45595" w:rsidRDefault="005D36E8" w:rsidP="00294E62">
            <w:pPr>
              <w:jc w:val="center"/>
              <w:rPr>
                <w:rFonts w:ascii="Arial" w:hAnsi="Arial" w:cs="Arial"/>
              </w:rPr>
            </w:pPr>
            <w:r w:rsidRPr="00F45595">
              <w:rPr>
                <w:rFonts w:ascii="Arial" w:hAnsi="Arial" w:cs="Arial"/>
              </w:rPr>
              <w:t>Broj</w:t>
            </w:r>
            <w:r>
              <w:rPr>
                <w:rFonts w:ascii="Arial" w:hAnsi="Arial" w:cs="Arial"/>
              </w:rPr>
              <w:t xml:space="preserve"> </w:t>
            </w:r>
            <w:r w:rsidRPr="00F45595">
              <w:rPr>
                <w:rFonts w:ascii="Arial" w:hAnsi="Arial" w:cs="Arial"/>
              </w:rPr>
              <w:t>stanovnika općine/grada</w:t>
            </w:r>
          </w:p>
        </w:tc>
        <w:tc>
          <w:tcPr>
            <w:tcW w:w="2552" w:type="dxa"/>
            <w:shd w:val="clear" w:color="auto" w:fill="auto"/>
            <w:vAlign w:val="center"/>
          </w:tcPr>
          <w:p w14:paraId="3E8AA34F" w14:textId="77777777" w:rsidR="005D36E8" w:rsidRPr="00F45595" w:rsidRDefault="005D36E8" w:rsidP="00294E62">
            <w:pPr>
              <w:jc w:val="center"/>
              <w:rPr>
                <w:rFonts w:ascii="Arial" w:hAnsi="Arial" w:cs="Arial"/>
              </w:rPr>
            </w:pPr>
            <w:r w:rsidRPr="00F45595">
              <w:rPr>
                <w:rFonts w:ascii="Arial" w:hAnsi="Arial" w:cs="Arial"/>
              </w:rPr>
              <w:t>Niža stopa poreza na dohodak u granicama</w:t>
            </w:r>
          </w:p>
        </w:tc>
        <w:tc>
          <w:tcPr>
            <w:tcW w:w="2954" w:type="dxa"/>
            <w:shd w:val="clear" w:color="auto" w:fill="auto"/>
            <w:vAlign w:val="center"/>
          </w:tcPr>
          <w:p w14:paraId="67A7E98D" w14:textId="77777777" w:rsidR="005D36E8" w:rsidRPr="00F45595" w:rsidRDefault="005D36E8" w:rsidP="00294E62">
            <w:pPr>
              <w:jc w:val="center"/>
              <w:rPr>
                <w:rFonts w:ascii="Arial" w:hAnsi="Arial" w:cs="Arial"/>
              </w:rPr>
            </w:pPr>
            <w:r w:rsidRPr="00F45595">
              <w:rPr>
                <w:rFonts w:ascii="Arial" w:hAnsi="Arial" w:cs="Arial"/>
              </w:rPr>
              <w:t>Viša stopa poreza na dohodak u granicama</w:t>
            </w:r>
          </w:p>
        </w:tc>
      </w:tr>
      <w:tr w:rsidR="005D36E8" w:rsidRPr="00F45595" w14:paraId="62E29D1C" w14:textId="77777777" w:rsidTr="00294E62">
        <w:trPr>
          <w:trHeight w:val="272"/>
        </w:trPr>
        <w:tc>
          <w:tcPr>
            <w:tcW w:w="3118" w:type="dxa"/>
            <w:shd w:val="clear" w:color="auto" w:fill="auto"/>
          </w:tcPr>
          <w:p w14:paraId="34338416" w14:textId="77777777" w:rsidR="005D36E8" w:rsidRPr="00F45595" w:rsidRDefault="005D36E8" w:rsidP="00294E62">
            <w:pPr>
              <w:jc w:val="both"/>
              <w:rPr>
                <w:rFonts w:ascii="Arial" w:hAnsi="Arial" w:cs="Arial"/>
              </w:rPr>
            </w:pPr>
            <w:r w:rsidRPr="00F45595">
              <w:rPr>
                <w:rFonts w:ascii="Arial" w:hAnsi="Arial" w:cs="Arial"/>
              </w:rPr>
              <w:t>Općina</w:t>
            </w:r>
          </w:p>
        </w:tc>
        <w:tc>
          <w:tcPr>
            <w:tcW w:w="2552" w:type="dxa"/>
            <w:shd w:val="clear" w:color="auto" w:fill="auto"/>
          </w:tcPr>
          <w:p w14:paraId="375F1509" w14:textId="77777777" w:rsidR="005D36E8" w:rsidRPr="00F45595" w:rsidRDefault="005D36E8" w:rsidP="00294E62">
            <w:pPr>
              <w:jc w:val="both"/>
              <w:rPr>
                <w:rFonts w:ascii="Arial" w:hAnsi="Arial" w:cs="Arial"/>
              </w:rPr>
            </w:pPr>
            <w:r w:rsidRPr="00F45595">
              <w:rPr>
                <w:rFonts w:ascii="Arial" w:hAnsi="Arial" w:cs="Arial"/>
              </w:rPr>
              <w:t>15% do 22%</w:t>
            </w:r>
          </w:p>
        </w:tc>
        <w:tc>
          <w:tcPr>
            <w:tcW w:w="2954" w:type="dxa"/>
            <w:shd w:val="clear" w:color="auto" w:fill="auto"/>
          </w:tcPr>
          <w:p w14:paraId="55B6DA54" w14:textId="77777777" w:rsidR="005D36E8" w:rsidRPr="00F45595" w:rsidRDefault="005D36E8" w:rsidP="00294E62">
            <w:pPr>
              <w:jc w:val="both"/>
              <w:rPr>
                <w:rFonts w:ascii="Arial" w:hAnsi="Arial" w:cs="Arial"/>
              </w:rPr>
            </w:pPr>
            <w:r w:rsidRPr="00F45595">
              <w:rPr>
                <w:rFonts w:ascii="Arial" w:hAnsi="Arial" w:cs="Arial"/>
              </w:rPr>
              <w:t>25% do 33%</w:t>
            </w:r>
          </w:p>
        </w:tc>
      </w:tr>
      <w:tr w:rsidR="005D36E8" w:rsidRPr="00F45595" w14:paraId="3B929429" w14:textId="77777777" w:rsidTr="00294E62">
        <w:trPr>
          <w:trHeight w:val="560"/>
        </w:trPr>
        <w:tc>
          <w:tcPr>
            <w:tcW w:w="3118" w:type="dxa"/>
            <w:shd w:val="clear" w:color="auto" w:fill="auto"/>
          </w:tcPr>
          <w:p w14:paraId="2AB217C9" w14:textId="77777777" w:rsidR="005D36E8" w:rsidRPr="00F45595" w:rsidRDefault="005D36E8" w:rsidP="00294E62">
            <w:pPr>
              <w:jc w:val="both"/>
              <w:rPr>
                <w:rFonts w:ascii="Arial" w:hAnsi="Arial" w:cs="Arial"/>
              </w:rPr>
            </w:pPr>
            <w:r w:rsidRPr="00F45595">
              <w:rPr>
                <w:rFonts w:ascii="Arial" w:hAnsi="Arial" w:cs="Arial"/>
              </w:rPr>
              <w:t>Grad s manje od 30.000 stanovnika</w:t>
            </w:r>
          </w:p>
        </w:tc>
        <w:tc>
          <w:tcPr>
            <w:tcW w:w="2552" w:type="dxa"/>
            <w:shd w:val="clear" w:color="auto" w:fill="auto"/>
          </w:tcPr>
          <w:p w14:paraId="0D4740FB" w14:textId="77777777" w:rsidR="005D36E8" w:rsidRPr="00F45595" w:rsidRDefault="005D36E8" w:rsidP="00294E62">
            <w:pPr>
              <w:jc w:val="both"/>
              <w:rPr>
                <w:rFonts w:ascii="Arial" w:hAnsi="Arial" w:cs="Arial"/>
              </w:rPr>
            </w:pPr>
            <w:r w:rsidRPr="00F45595">
              <w:rPr>
                <w:rFonts w:ascii="Arial" w:hAnsi="Arial" w:cs="Arial"/>
              </w:rPr>
              <w:t>15% do 22,4%</w:t>
            </w:r>
          </w:p>
        </w:tc>
        <w:tc>
          <w:tcPr>
            <w:tcW w:w="2954" w:type="dxa"/>
            <w:shd w:val="clear" w:color="auto" w:fill="auto"/>
          </w:tcPr>
          <w:p w14:paraId="01949130" w14:textId="77777777" w:rsidR="005D36E8" w:rsidRPr="00F45595" w:rsidRDefault="005D36E8" w:rsidP="00294E62">
            <w:pPr>
              <w:jc w:val="both"/>
              <w:rPr>
                <w:rFonts w:ascii="Arial" w:hAnsi="Arial" w:cs="Arial"/>
              </w:rPr>
            </w:pPr>
            <w:r w:rsidRPr="00F45595">
              <w:rPr>
                <w:rFonts w:ascii="Arial" w:hAnsi="Arial" w:cs="Arial"/>
              </w:rPr>
              <w:t>25% do 33,6%</w:t>
            </w:r>
          </w:p>
        </w:tc>
      </w:tr>
      <w:tr w:rsidR="005D36E8" w:rsidRPr="00F45595" w14:paraId="0CE12695" w14:textId="77777777" w:rsidTr="00294E62">
        <w:trPr>
          <w:trHeight w:val="545"/>
        </w:trPr>
        <w:tc>
          <w:tcPr>
            <w:tcW w:w="3118" w:type="dxa"/>
            <w:shd w:val="clear" w:color="auto" w:fill="auto"/>
          </w:tcPr>
          <w:p w14:paraId="014ACBCE" w14:textId="77777777" w:rsidR="005D36E8" w:rsidRPr="00F45595" w:rsidRDefault="005D36E8" w:rsidP="00294E62">
            <w:pPr>
              <w:jc w:val="both"/>
              <w:rPr>
                <w:rFonts w:ascii="Arial" w:hAnsi="Arial" w:cs="Arial"/>
              </w:rPr>
            </w:pPr>
            <w:r w:rsidRPr="00F45595">
              <w:rPr>
                <w:rFonts w:ascii="Arial" w:hAnsi="Arial" w:cs="Arial"/>
              </w:rPr>
              <w:t>Grad s više od 30.000 stanovnika</w:t>
            </w:r>
          </w:p>
        </w:tc>
        <w:tc>
          <w:tcPr>
            <w:tcW w:w="2552" w:type="dxa"/>
            <w:shd w:val="clear" w:color="auto" w:fill="auto"/>
          </w:tcPr>
          <w:p w14:paraId="2D7953C9" w14:textId="77777777" w:rsidR="005D36E8" w:rsidRPr="00F45595" w:rsidRDefault="005D36E8" w:rsidP="00294E62">
            <w:pPr>
              <w:jc w:val="both"/>
              <w:rPr>
                <w:rFonts w:ascii="Arial" w:hAnsi="Arial" w:cs="Arial"/>
              </w:rPr>
            </w:pPr>
            <w:r w:rsidRPr="00F45595">
              <w:rPr>
                <w:rFonts w:ascii="Arial" w:hAnsi="Arial" w:cs="Arial"/>
              </w:rPr>
              <w:t>15% do 23%</w:t>
            </w:r>
          </w:p>
        </w:tc>
        <w:tc>
          <w:tcPr>
            <w:tcW w:w="2954" w:type="dxa"/>
            <w:shd w:val="clear" w:color="auto" w:fill="auto"/>
          </w:tcPr>
          <w:p w14:paraId="22901778" w14:textId="77777777" w:rsidR="005D36E8" w:rsidRPr="00F45595" w:rsidRDefault="005D36E8" w:rsidP="00294E62">
            <w:pPr>
              <w:jc w:val="both"/>
              <w:rPr>
                <w:rFonts w:ascii="Arial" w:hAnsi="Arial" w:cs="Arial"/>
              </w:rPr>
            </w:pPr>
            <w:r w:rsidRPr="00F45595">
              <w:rPr>
                <w:rFonts w:ascii="Arial" w:hAnsi="Arial" w:cs="Arial"/>
              </w:rPr>
              <w:t>25% do 34,5%</w:t>
            </w:r>
          </w:p>
        </w:tc>
      </w:tr>
      <w:tr w:rsidR="005D36E8" w:rsidRPr="00F45595" w14:paraId="046AE156" w14:textId="77777777" w:rsidTr="00294E62">
        <w:trPr>
          <w:trHeight w:val="272"/>
        </w:trPr>
        <w:tc>
          <w:tcPr>
            <w:tcW w:w="3118" w:type="dxa"/>
            <w:shd w:val="clear" w:color="auto" w:fill="auto"/>
          </w:tcPr>
          <w:p w14:paraId="3491E501" w14:textId="77777777" w:rsidR="005D36E8" w:rsidRPr="00F45595" w:rsidRDefault="005D36E8" w:rsidP="00294E62">
            <w:pPr>
              <w:jc w:val="both"/>
              <w:rPr>
                <w:rFonts w:ascii="Arial" w:hAnsi="Arial" w:cs="Arial"/>
              </w:rPr>
            </w:pPr>
            <w:r w:rsidRPr="00F45595">
              <w:rPr>
                <w:rFonts w:ascii="Arial" w:hAnsi="Arial" w:cs="Arial"/>
              </w:rPr>
              <w:t>Grad Zagreb</w:t>
            </w:r>
          </w:p>
        </w:tc>
        <w:tc>
          <w:tcPr>
            <w:tcW w:w="2552" w:type="dxa"/>
            <w:shd w:val="clear" w:color="auto" w:fill="auto"/>
          </w:tcPr>
          <w:p w14:paraId="5C0B2267" w14:textId="77777777" w:rsidR="005D36E8" w:rsidRPr="00F45595" w:rsidRDefault="005D36E8" w:rsidP="00294E62">
            <w:pPr>
              <w:jc w:val="both"/>
              <w:rPr>
                <w:rFonts w:ascii="Arial" w:hAnsi="Arial" w:cs="Arial"/>
              </w:rPr>
            </w:pPr>
            <w:r w:rsidRPr="00F45595">
              <w:rPr>
                <w:rFonts w:ascii="Arial" w:hAnsi="Arial" w:cs="Arial"/>
              </w:rPr>
              <w:t>15% do 23,6%</w:t>
            </w:r>
          </w:p>
        </w:tc>
        <w:tc>
          <w:tcPr>
            <w:tcW w:w="2954" w:type="dxa"/>
            <w:shd w:val="clear" w:color="auto" w:fill="auto"/>
          </w:tcPr>
          <w:p w14:paraId="3233B31B" w14:textId="77777777" w:rsidR="005D36E8" w:rsidRPr="00F45595" w:rsidRDefault="005D36E8" w:rsidP="00294E62">
            <w:pPr>
              <w:jc w:val="both"/>
              <w:rPr>
                <w:rFonts w:ascii="Arial" w:hAnsi="Arial" w:cs="Arial"/>
              </w:rPr>
            </w:pPr>
            <w:r w:rsidRPr="00F45595">
              <w:rPr>
                <w:rFonts w:ascii="Arial" w:hAnsi="Arial" w:cs="Arial"/>
              </w:rPr>
              <w:t>25% do 35,4%</w:t>
            </w:r>
          </w:p>
        </w:tc>
      </w:tr>
    </w:tbl>
    <w:p w14:paraId="13536182" w14:textId="77777777" w:rsidR="005D36E8" w:rsidRDefault="005D36E8" w:rsidP="005D36E8">
      <w:pPr>
        <w:ind w:firstLine="708"/>
        <w:jc w:val="both"/>
        <w:rPr>
          <w:rFonts w:ascii="Arial" w:hAnsi="Arial" w:cs="Arial"/>
        </w:rPr>
      </w:pPr>
    </w:p>
    <w:p w14:paraId="00D073B9" w14:textId="77777777" w:rsidR="005D36E8" w:rsidRPr="00F45595" w:rsidRDefault="005D36E8" w:rsidP="005D36E8">
      <w:pPr>
        <w:ind w:firstLine="708"/>
        <w:jc w:val="both"/>
        <w:rPr>
          <w:rFonts w:ascii="Arial" w:hAnsi="Arial" w:cs="Arial"/>
        </w:rPr>
      </w:pPr>
    </w:p>
    <w:p w14:paraId="57F43C39" w14:textId="77777777" w:rsidR="005D36E8" w:rsidRPr="00F45595" w:rsidRDefault="005D36E8" w:rsidP="005D36E8">
      <w:pPr>
        <w:ind w:firstLine="720"/>
        <w:jc w:val="both"/>
        <w:rPr>
          <w:rFonts w:ascii="Arial" w:hAnsi="Arial" w:cs="Arial"/>
        </w:rPr>
      </w:pPr>
      <w:r w:rsidRPr="00F45595">
        <w:rPr>
          <w:rFonts w:ascii="Arial" w:hAnsi="Arial" w:cs="Arial"/>
        </w:rPr>
        <w:t>Pritom je postotak maksimalne niže i više stope poreza na dohodak Zakonom  utvrđen na slijedeći način:</w:t>
      </w:r>
    </w:p>
    <w:p w14:paraId="4FB74381" w14:textId="77777777" w:rsidR="005D36E8" w:rsidRPr="00F45595" w:rsidRDefault="005D36E8" w:rsidP="005D36E8">
      <w:pPr>
        <w:numPr>
          <w:ilvl w:val="0"/>
          <w:numId w:val="3"/>
        </w:numPr>
        <w:jc w:val="both"/>
        <w:rPr>
          <w:rFonts w:ascii="Arial" w:hAnsi="Arial" w:cs="Arial"/>
        </w:rPr>
      </w:pPr>
      <w:r w:rsidRPr="00F45595">
        <w:rPr>
          <w:rFonts w:ascii="Arial" w:hAnsi="Arial" w:cs="Arial"/>
        </w:rPr>
        <w:t>Niža stopa poreza na dohodak = 20% + (20% x maksimalna stopa prireza),</w:t>
      </w:r>
    </w:p>
    <w:p w14:paraId="44A58747" w14:textId="77777777" w:rsidR="005D36E8" w:rsidRPr="00F45595" w:rsidRDefault="005D36E8" w:rsidP="005D36E8">
      <w:pPr>
        <w:numPr>
          <w:ilvl w:val="0"/>
          <w:numId w:val="3"/>
        </w:numPr>
        <w:jc w:val="both"/>
        <w:rPr>
          <w:rFonts w:ascii="Arial" w:hAnsi="Arial" w:cs="Arial"/>
        </w:rPr>
      </w:pPr>
      <w:r w:rsidRPr="00F45595">
        <w:rPr>
          <w:rFonts w:ascii="Arial" w:hAnsi="Arial" w:cs="Arial"/>
        </w:rPr>
        <w:t xml:space="preserve">Viša stopa poreza na dohodak = 30% + (30% x maksimalna stopa prireza). </w:t>
      </w:r>
    </w:p>
    <w:p w14:paraId="1D437959" w14:textId="77777777" w:rsidR="005D36E8" w:rsidRPr="00F45595" w:rsidRDefault="005D36E8" w:rsidP="005D36E8">
      <w:pPr>
        <w:ind w:firstLine="708"/>
        <w:jc w:val="both"/>
        <w:rPr>
          <w:rFonts w:ascii="Arial" w:hAnsi="Arial" w:cs="Arial"/>
        </w:rPr>
      </w:pPr>
    </w:p>
    <w:p w14:paraId="40931AE8" w14:textId="77777777" w:rsidR="005D36E8" w:rsidRPr="00F45595" w:rsidRDefault="005D36E8" w:rsidP="005D36E8">
      <w:pPr>
        <w:ind w:firstLine="708"/>
        <w:jc w:val="both"/>
        <w:rPr>
          <w:rFonts w:ascii="Arial" w:hAnsi="Arial" w:cs="Arial"/>
        </w:rPr>
      </w:pPr>
      <w:r w:rsidRPr="00F45595">
        <w:rPr>
          <w:rFonts w:ascii="Arial" w:hAnsi="Arial" w:cs="Arial"/>
        </w:rPr>
        <w:t xml:space="preserve">Slijedom navedenog, Grad Otočac može svojom odlukom o visini poreznih stopa godišnjeg poreza na dohodak nižu poreznu stopu odrediti u rasponu od 15% do 22,4% te višu poreznu stopu u rasponu od 25% do 33,6%, a ovisno o procjeni kojom bi se poreznom stopom nadoknadio u cijelosti ili djelomično gubitak poreznih prihoda. Navedeno znači, primjerice, da ukoliko bi se sadašnja niža stopa od 20% uvećala za postojeći prirez od 7%, ista bi mogla iznositi 21,4%, dok bi viša stopa od sadašnjih 30% uvećana za prirez od 7% mogla iznositi 32,1%. </w:t>
      </w:r>
    </w:p>
    <w:p w14:paraId="667C0C5F" w14:textId="77777777" w:rsidR="005D36E8" w:rsidRPr="00F45595" w:rsidRDefault="005D36E8" w:rsidP="005D36E8">
      <w:pPr>
        <w:ind w:firstLine="708"/>
        <w:jc w:val="both"/>
        <w:rPr>
          <w:rFonts w:ascii="Arial" w:hAnsi="Arial" w:cs="Arial"/>
        </w:rPr>
      </w:pPr>
      <w:r w:rsidRPr="00F45595">
        <w:rPr>
          <w:rFonts w:ascii="Arial" w:hAnsi="Arial" w:cs="Arial"/>
        </w:rPr>
        <w:lastRenderedPageBreak/>
        <w:t xml:space="preserve">Sukladno programu Gradonačelnika za mandatno razdoblje, Grad Otočac je u protekle dvije godine, u cilju poreznog rasterećenja građana, smanjio stopu prireza porezu na dohodak s prvotnih 9% na 7%. S obzirom da je u 2024. godini stopa prireza trebala biti 7% ovim materijalom predlaže se, sukladno navedenom članku 19.a Zakona, da se za porezne obveznike na području grada Otočca donose </w:t>
      </w:r>
      <w:r>
        <w:rPr>
          <w:rFonts w:ascii="Arial" w:hAnsi="Arial" w:cs="Arial"/>
        </w:rPr>
        <w:t>O</w:t>
      </w:r>
      <w:r w:rsidRPr="00F45595">
        <w:rPr>
          <w:rFonts w:ascii="Arial" w:hAnsi="Arial" w:cs="Arial"/>
        </w:rPr>
        <w:t>dluka o visini poreznih stopa godišnjeg poreza na dohodak kojom bi se utvrdila niža stopa poreza na dohodak u visini od 21,4% i viša stopa poreza na dohodak u visini od 32,1%, što je izračunato na slijedeći način:</w:t>
      </w:r>
    </w:p>
    <w:p w14:paraId="3FF38D66" w14:textId="77777777" w:rsidR="005D36E8" w:rsidRPr="00F45595" w:rsidRDefault="005D36E8" w:rsidP="005D36E8">
      <w:pPr>
        <w:jc w:val="both"/>
        <w:rPr>
          <w:rFonts w:ascii="Arial" w:hAnsi="Arial" w:cs="Arial"/>
          <w:u w:val="single"/>
        </w:rPr>
      </w:pPr>
    </w:p>
    <w:p w14:paraId="7D8469AD" w14:textId="77777777" w:rsidR="005D36E8" w:rsidRPr="00F45595" w:rsidRDefault="005D36E8" w:rsidP="005D36E8">
      <w:pPr>
        <w:jc w:val="both"/>
        <w:rPr>
          <w:rFonts w:ascii="Arial" w:hAnsi="Arial" w:cs="Arial"/>
          <w:u w:val="single"/>
        </w:rPr>
      </w:pPr>
      <w:r w:rsidRPr="00F45595">
        <w:rPr>
          <w:rFonts w:ascii="Arial" w:hAnsi="Arial" w:cs="Arial"/>
          <w:u w:val="single"/>
        </w:rPr>
        <w:t xml:space="preserve">Izračun stopa poreza na dohodak na području Grada Otočca: </w:t>
      </w:r>
    </w:p>
    <w:p w14:paraId="5BD71A11" w14:textId="77777777" w:rsidR="005D36E8" w:rsidRPr="00F45595" w:rsidRDefault="005D36E8" w:rsidP="005D36E8">
      <w:pPr>
        <w:jc w:val="both"/>
        <w:rPr>
          <w:rFonts w:ascii="Arial" w:hAnsi="Arial" w:cs="Arial"/>
        </w:rPr>
      </w:pPr>
      <w:r w:rsidRPr="00F45595">
        <w:rPr>
          <w:rFonts w:ascii="Arial" w:hAnsi="Arial" w:cs="Arial"/>
        </w:rPr>
        <w:t>20% + (20% x 7%) = 21,4%</w:t>
      </w:r>
      <w:r w:rsidRPr="00F45595">
        <w:rPr>
          <w:rFonts w:ascii="Arial" w:hAnsi="Arial" w:cs="Arial"/>
        </w:rPr>
        <w:tab/>
      </w:r>
      <w:r w:rsidRPr="00F45595">
        <w:rPr>
          <w:rFonts w:ascii="Arial" w:hAnsi="Arial" w:cs="Arial"/>
        </w:rPr>
        <w:tab/>
        <w:t>Niža stopa poreza na dohodak</w:t>
      </w:r>
    </w:p>
    <w:p w14:paraId="660FE0B4" w14:textId="77777777" w:rsidR="005D36E8" w:rsidRPr="00F45595" w:rsidRDefault="005D36E8" w:rsidP="005D36E8">
      <w:pPr>
        <w:jc w:val="both"/>
        <w:rPr>
          <w:rFonts w:ascii="Arial" w:hAnsi="Arial" w:cs="Arial"/>
        </w:rPr>
      </w:pPr>
      <w:r w:rsidRPr="00F45595">
        <w:rPr>
          <w:rFonts w:ascii="Arial" w:hAnsi="Arial" w:cs="Arial"/>
        </w:rPr>
        <w:t>30% + (30% x 7%) = 32,1%</w:t>
      </w:r>
      <w:r w:rsidRPr="00F45595">
        <w:rPr>
          <w:rFonts w:ascii="Arial" w:hAnsi="Arial" w:cs="Arial"/>
        </w:rPr>
        <w:tab/>
      </w:r>
      <w:r w:rsidRPr="00F45595">
        <w:rPr>
          <w:rFonts w:ascii="Arial" w:hAnsi="Arial" w:cs="Arial"/>
        </w:rPr>
        <w:tab/>
        <w:t>Viša stopa poreza na dohodak</w:t>
      </w:r>
    </w:p>
    <w:p w14:paraId="0A2C5420" w14:textId="77777777" w:rsidR="005D36E8" w:rsidRPr="00F45595" w:rsidRDefault="005D36E8" w:rsidP="005D36E8">
      <w:pPr>
        <w:jc w:val="both"/>
        <w:rPr>
          <w:rFonts w:ascii="Arial" w:hAnsi="Arial" w:cs="Arial"/>
          <w:u w:val="single"/>
        </w:rPr>
      </w:pPr>
    </w:p>
    <w:p w14:paraId="61A41754" w14:textId="77777777" w:rsidR="005D36E8" w:rsidRPr="00F45595" w:rsidRDefault="005D36E8" w:rsidP="005D36E8">
      <w:pPr>
        <w:pStyle w:val="Odlomakpopisa"/>
        <w:spacing w:line="240" w:lineRule="auto"/>
        <w:ind w:left="0" w:firstLine="720"/>
        <w:jc w:val="both"/>
        <w:rPr>
          <w:rFonts w:ascii="Arial" w:hAnsi="Arial" w:cs="Arial"/>
          <w:sz w:val="24"/>
          <w:szCs w:val="24"/>
        </w:rPr>
      </w:pPr>
      <w:r w:rsidRPr="00F45595">
        <w:rPr>
          <w:rFonts w:ascii="Arial" w:hAnsi="Arial" w:cs="Arial"/>
          <w:sz w:val="24"/>
          <w:szCs w:val="24"/>
        </w:rPr>
        <w:t>Dakle,</w:t>
      </w:r>
      <w:r>
        <w:rPr>
          <w:rFonts w:ascii="Arial" w:hAnsi="Arial" w:cs="Arial"/>
          <w:sz w:val="24"/>
          <w:szCs w:val="24"/>
        </w:rPr>
        <w:t xml:space="preserve"> </w:t>
      </w:r>
      <w:r w:rsidRPr="00F45595">
        <w:rPr>
          <w:rFonts w:ascii="Arial" w:hAnsi="Arial" w:cs="Arial"/>
          <w:sz w:val="24"/>
          <w:szCs w:val="24"/>
        </w:rPr>
        <w:t>ukidanjem prireza porezu na dohodak i povećanjem iznosa osobnog odbitka poreznim obveznicima će se smanjiti porezna obveza, ali će navedeno utjecati na značajno smanjenje poreznih prihoda Grada za iznos oko 300.000,00 eura.</w:t>
      </w:r>
    </w:p>
    <w:p w14:paraId="6F1FEB32" w14:textId="77777777" w:rsidR="005D36E8" w:rsidRPr="00F45595" w:rsidRDefault="005D36E8" w:rsidP="005D36E8">
      <w:pPr>
        <w:pStyle w:val="Odlomakpopisa"/>
        <w:spacing w:line="240" w:lineRule="auto"/>
        <w:ind w:left="0" w:firstLine="720"/>
        <w:jc w:val="both"/>
        <w:rPr>
          <w:rFonts w:ascii="Arial" w:hAnsi="Arial" w:cs="Arial"/>
          <w:sz w:val="24"/>
          <w:szCs w:val="24"/>
        </w:rPr>
      </w:pPr>
    </w:p>
    <w:p w14:paraId="368EDCC5" w14:textId="77777777" w:rsidR="005D36E8" w:rsidRPr="00F45595" w:rsidRDefault="005D36E8" w:rsidP="005D36E8">
      <w:pPr>
        <w:pStyle w:val="Odlomakpopisa"/>
        <w:spacing w:line="240" w:lineRule="auto"/>
        <w:ind w:left="0" w:firstLine="720"/>
        <w:jc w:val="both"/>
        <w:rPr>
          <w:rFonts w:ascii="Arial" w:hAnsi="Arial" w:cs="Arial"/>
          <w:sz w:val="24"/>
          <w:szCs w:val="24"/>
        </w:rPr>
      </w:pPr>
      <w:r w:rsidRPr="00F45595">
        <w:rPr>
          <w:rFonts w:ascii="Arial" w:hAnsi="Arial" w:cs="Arial"/>
          <w:sz w:val="24"/>
          <w:szCs w:val="24"/>
        </w:rPr>
        <w:t>Potrebno je posebno naglasiti da, prema procjenama, predloženom nižom stopom poreza na dohodak od 21,4% i višom stopom od 32,1% Grad ipak neće moći u cijelosti nadoknaditi procijenjeni gubitak prihoda od poreza na dohodak i dosadašnjeg prireza porezu na dohodak u iznosu oko 300.000,00 eura. Procjena je da će i dalje nedostajati oko 300.000,00 eura, što bi eventualno moglo biti nadomješteno većom naplatom poreza na dohodak zbog daljnjeg povećanja plaća zaposlenih uslijed inflatornih pritisaka. Naime, prema Zakonu o financiranju jedinica lokalne i područne samouprave („Narodne novine“ broj 127/17, 138/20, 151/22 i 114/23), prihod od poreza na dohodak je zajednički prihod koji se dijeli između općina odnosno gradova i županija. Konkretno, trenutno od ostvarenog prihoda od poreza na dohodak na području grada Otočca, Gradu Otočcu pripada udio oko 7</w:t>
      </w:r>
      <w:r>
        <w:rPr>
          <w:rFonts w:ascii="Arial" w:hAnsi="Arial" w:cs="Arial"/>
          <w:sz w:val="24"/>
          <w:szCs w:val="24"/>
        </w:rPr>
        <w:t>4</w:t>
      </w:r>
      <w:r w:rsidRPr="00F45595">
        <w:rPr>
          <w:rFonts w:ascii="Arial" w:hAnsi="Arial" w:cs="Arial"/>
          <w:sz w:val="24"/>
          <w:szCs w:val="24"/>
        </w:rPr>
        <w:t>% naplaćenog poreza, a Ličko-senjskoj županiji oko 2</w:t>
      </w:r>
      <w:r>
        <w:rPr>
          <w:rFonts w:ascii="Arial" w:hAnsi="Arial" w:cs="Arial"/>
          <w:sz w:val="24"/>
          <w:szCs w:val="24"/>
        </w:rPr>
        <w:t>6</w:t>
      </w:r>
      <w:r w:rsidRPr="00F45595">
        <w:rPr>
          <w:rFonts w:ascii="Arial" w:hAnsi="Arial" w:cs="Arial"/>
          <w:sz w:val="24"/>
          <w:szCs w:val="24"/>
        </w:rPr>
        <w:t>% naplaćenog poreza. Pritom naplaćeni prirez porezu na dohodak u cijelosti pripada Gradu Otočcu jer se radi o lokalnom porezu. Međutim, ukoliko Grad Otočac uvede nove stope poreza na dohodak, nižu stopu od 21,4% (što je ekvivalent stope od 20% uvećane za prirez od 7%) i višu stopu od 32,1% (što je ekvivalent stope od 30% uvećane za prirez od 7%), navedeni prihod od poreza na dohodak će se i dalje dijeliti između Grada i Ličko-senjske županije u prethodno navedenim omjerima, s obzirom da se Zakonom o izmjenama Zakona o financiranju jedinica lokalne i područne samouprave („Narodne novine“ broj 114/23) ne mijenjaju udjeli u raspodjeli poreza na dohodak. Stoga je i ta činjenica razlog zašto neće biti moguće u cijelosti nadoknaditi gubitak poreznih prihoda.</w:t>
      </w:r>
    </w:p>
    <w:p w14:paraId="575E3CDB" w14:textId="77777777" w:rsidR="005D36E8" w:rsidRDefault="005D36E8"/>
    <w:sectPr w:rsidR="005D36E8" w:rsidSect="009C6051">
      <w:footerReference w:type="even" r:id="rId5"/>
      <w:footerReference w:type="default" r:id="rId6"/>
      <w:pgSz w:w="11906" w:h="16838"/>
      <w:pgMar w:top="851" w:right="851" w:bottom="851" w:left="1418" w:header="567"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B2CB" w14:textId="77777777" w:rsidR="00000000" w:rsidRDefault="00000000" w:rsidP="009C605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14:paraId="13B4E76C" w14:textId="77777777" w:rsidR="00000000" w:rsidRDefault="0000000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5191" w14:textId="77777777" w:rsidR="00000000" w:rsidRDefault="00000000" w:rsidP="009C6051">
    <w:pPr>
      <w:pStyle w:val="Podnoje"/>
      <w:framePr w:wrap="around" w:vAnchor="text" w:hAnchor="margin" w:xAlign="center" w:y="1"/>
      <w:rPr>
        <w:rStyle w:val="Brojstranice"/>
      </w:rPr>
    </w:pPr>
    <w:r>
      <w:rPr>
        <w:rStyle w:val="Brojstranice"/>
      </w:rPr>
      <w:t xml:space="preserve">                                                                                            </w:t>
    </w:r>
    <w:r>
      <w:rPr>
        <w:rStyle w:val="Brojstranice"/>
      </w:rPr>
      <w:fldChar w:fldCharType="begin"/>
    </w:r>
    <w:r>
      <w:rPr>
        <w:rStyle w:val="Brojstranice"/>
      </w:rPr>
      <w:instrText xml:space="preserve"> PAGE </w:instrText>
    </w:r>
    <w:r>
      <w:rPr>
        <w:rStyle w:val="Brojstranice"/>
      </w:rPr>
      <w:fldChar w:fldCharType="separate"/>
    </w:r>
    <w:r>
      <w:rPr>
        <w:rStyle w:val="Brojstranice"/>
        <w:noProof/>
      </w:rPr>
      <w:t>7</w:t>
    </w:r>
    <w:r>
      <w:rPr>
        <w:rStyle w:val="Brojstranice"/>
      </w:rPr>
      <w:fldChar w:fldCharType="end"/>
    </w:r>
  </w:p>
  <w:p w14:paraId="2D06F36E" w14:textId="77777777" w:rsidR="00000000" w:rsidRDefault="00000000" w:rsidP="009C6051">
    <w:pPr>
      <w:pStyle w:val="Podnoje"/>
      <w:framePr w:wrap="around" w:vAnchor="text" w:hAnchor="margin" w:xAlign="center" w:y="1"/>
      <w:rPr>
        <w:rStyle w:val="Brojstranice"/>
      </w:rPr>
    </w:pPr>
  </w:p>
  <w:p w14:paraId="7EB58EEF" w14:textId="77777777" w:rsidR="00000000" w:rsidRDefault="00000000">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151E8"/>
    <w:multiLevelType w:val="hybridMultilevel"/>
    <w:tmpl w:val="AB22C480"/>
    <w:lvl w:ilvl="0" w:tplc="89A6481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7470550"/>
    <w:multiLevelType w:val="hybridMultilevel"/>
    <w:tmpl w:val="B8BEDF2A"/>
    <w:lvl w:ilvl="0" w:tplc="FA24F148">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F693BFF"/>
    <w:multiLevelType w:val="hybridMultilevel"/>
    <w:tmpl w:val="443077E8"/>
    <w:lvl w:ilvl="0" w:tplc="9872D97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86437653">
    <w:abstractNumId w:val="2"/>
  </w:num>
  <w:num w:numId="2" w16cid:durableId="1763212032">
    <w:abstractNumId w:val="1"/>
  </w:num>
  <w:num w:numId="3" w16cid:durableId="30377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8D"/>
    <w:rsid w:val="0015738D"/>
    <w:rsid w:val="002A356C"/>
    <w:rsid w:val="003760D3"/>
    <w:rsid w:val="005D36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11CE"/>
  <w15:chartTrackingRefBased/>
  <w15:docId w15:val="{D0A721F6-80E4-48F7-9281-EBE0D3D5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8D"/>
    <w:pPr>
      <w:spacing w:after="0" w:line="240" w:lineRule="auto"/>
    </w:pPr>
    <w:rPr>
      <w:rFonts w:ascii="Times New Roman" w:eastAsia="Times New Roman" w:hAnsi="Times New Roman" w:cs="Times New Roman"/>
      <w:kern w:val="0"/>
      <w:sz w:val="24"/>
      <w:szCs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15738D"/>
    <w:pPr>
      <w:tabs>
        <w:tab w:val="center" w:pos="4153"/>
        <w:tab w:val="right" w:pos="8306"/>
      </w:tabs>
    </w:pPr>
    <w:rPr>
      <w:sz w:val="20"/>
      <w:szCs w:val="20"/>
      <w:lang w:val="en-US" w:eastAsia="hr-HR"/>
    </w:rPr>
  </w:style>
  <w:style w:type="character" w:customStyle="1" w:styleId="PodnojeChar">
    <w:name w:val="Podnožje Char"/>
    <w:basedOn w:val="Zadanifontodlomka"/>
    <w:link w:val="Podnoje"/>
    <w:rsid w:val="0015738D"/>
    <w:rPr>
      <w:rFonts w:ascii="Times New Roman" w:eastAsia="Times New Roman" w:hAnsi="Times New Roman" w:cs="Times New Roman"/>
      <w:kern w:val="0"/>
      <w:sz w:val="20"/>
      <w:szCs w:val="20"/>
      <w:lang w:val="en-US" w:eastAsia="hr-HR"/>
      <w14:ligatures w14:val="none"/>
    </w:rPr>
  </w:style>
  <w:style w:type="character" w:styleId="Brojstranice">
    <w:name w:val="page number"/>
    <w:basedOn w:val="Zadanifontodlomka"/>
    <w:rsid w:val="0015738D"/>
  </w:style>
  <w:style w:type="paragraph" w:styleId="Bezproreda">
    <w:name w:val="No Spacing"/>
    <w:uiPriority w:val="1"/>
    <w:qFormat/>
    <w:rsid w:val="0015738D"/>
    <w:pPr>
      <w:spacing w:after="0" w:line="240" w:lineRule="auto"/>
    </w:pPr>
    <w:rPr>
      <w:rFonts w:ascii="Calibri" w:eastAsia="Calibri" w:hAnsi="Calibri" w:cs="Times New Roman"/>
      <w:kern w:val="0"/>
      <w14:ligatures w14:val="none"/>
    </w:rPr>
  </w:style>
  <w:style w:type="paragraph" w:customStyle="1" w:styleId="Default">
    <w:name w:val="Default"/>
    <w:rsid w:val="005D36E8"/>
    <w:pPr>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paragraph" w:styleId="Odlomakpopisa">
    <w:name w:val="List Paragraph"/>
    <w:basedOn w:val="Normal"/>
    <w:uiPriority w:val="34"/>
    <w:qFormat/>
    <w:rsid w:val="005D36E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1523</Words>
  <Characters>8687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Marković</dc:creator>
  <cp:keywords/>
  <dc:description/>
  <cp:lastModifiedBy>Marija Marković</cp:lastModifiedBy>
  <cp:revision>2</cp:revision>
  <cp:lastPrinted>2023-11-06T13:23:00Z</cp:lastPrinted>
  <dcterms:created xsi:type="dcterms:W3CDTF">2023-11-06T13:56:00Z</dcterms:created>
  <dcterms:modified xsi:type="dcterms:W3CDTF">2023-11-06T13:56:00Z</dcterms:modified>
</cp:coreProperties>
</file>